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20F6" w:rsidRDefault="00F0496B">
      <w:pPr>
        <w:spacing w:after="0" w:line="259" w:lineRule="auto"/>
        <w:ind w:left="0" w:firstLine="0"/>
      </w:pPr>
      <w:r>
        <w:rPr>
          <w:b/>
        </w:rPr>
        <w:t xml:space="preserve"> </w:t>
      </w:r>
    </w:p>
    <w:p w:rsidR="006220F6" w:rsidRDefault="00F0496B">
      <w:pPr>
        <w:spacing w:after="0" w:line="259" w:lineRule="auto"/>
        <w:ind w:left="0" w:firstLine="0"/>
      </w:pPr>
      <w:r>
        <w:t xml:space="preserve"> </w:t>
      </w:r>
    </w:p>
    <w:p w:rsidR="006220F6" w:rsidRDefault="00F0496B">
      <w:pPr>
        <w:spacing w:after="0" w:line="259" w:lineRule="auto"/>
        <w:ind w:left="0" w:firstLine="0"/>
      </w:pPr>
      <w:r>
        <w:t xml:space="preserve"> </w:t>
      </w:r>
    </w:p>
    <w:p w:rsidR="006220F6" w:rsidRDefault="00F0496B">
      <w:pPr>
        <w:spacing w:after="15" w:line="259" w:lineRule="auto"/>
        <w:ind w:left="720" w:firstLine="0"/>
      </w:pPr>
      <w:r>
        <w:rPr>
          <w:noProof/>
        </w:rPr>
        <w:drawing>
          <wp:anchor distT="0" distB="0" distL="114300" distR="114300" simplePos="0" relativeHeight="251658240" behindDoc="0" locked="0" layoutInCell="1" allowOverlap="0">
            <wp:simplePos x="0" y="0"/>
            <wp:positionH relativeFrom="column">
              <wp:posOffset>5462780</wp:posOffset>
            </wp:positionH>
            <wp:positionV relativeFrom="paragraph">
              <wp:posOffset>-74960</wp:posOffset>
            </wp:positionV>
            <wp:extent cx="914400" cy="914400"/>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914400" cy="914400"/>
                    </a:xfrm>
                    <a:prstGeom prst="rect">
                      <a:avLst/>
                    </a:prstGeom>
                  </pic:spPr>
                </pic:pic>
              </a:graphicData>
            </a:graphic>
          </wp:anchor>
        </w:drawing>
      </w:r>
      <w:r>
        <w:rPr>
          <w:rFonts w:ascii="Arial" w:eastAsia="Arial" w:hAnsi="Arial" w:cs="Arial"/>
          <w:b/>
          <w:sz w:val="16"/>
        </w:rPr>
        <w:t>Contact: Greg Tatara</w:t>
      </w:r>
      <w:r>
        <w:rPr>
          <w:rFonts w:ascii="Arial" w:eastAsia="Arial" w:hAnsi="Arial" w:cs="Arial"/>
          <w:sz w:val="16"/>
        </w:rPr>
        <w:t xml:space="preserve"> </w:t>
      </w:r>
    </w:p>
    <w:p w:rsidR="006220F6" w:rsidRDefault="00A1142A">
      <w:pPr>
        <w:spacing w:after="4" w:line="261" w:lineRule="auto"/>
        <w:ind w:left="715" w:right="-446"/>
      </w:pPr>
      <w:r>
        <w:rPr>
          <w:rFonts w:ascii="Arial" w:eastAsia="Arial" w:hAnsi="Arial" w:cs="Arial"/>
          <w:sz w:val="16"/>
        </w:rPr>
        <w:t>MHOG Utility Department</w:t>
      </w:r>
    </w:p>
    <w:p w:rsidR="006220F6" w:rsidRDefault="00F0496B">
      <w:pPr>
        <w:spacing w:after="4" w:line="261" w:lineRule="auto"/>
        <w:ind w:left="715" w:right="-446"/>
      </w:pPr>
      <w:r>
        <w:rPr>
          <w:rFonts w:ascii="Arial" w:eastAsia="Arial" w:hAnsi="Arial" w:cs="Arial"/>
          <w:sz w:val="16"/>
        </w:rPr>
        <w:t xml:space="preserve">Phone 810-227-5225 </w:t>
      </w:r>
    </w:p>
    <w:p w:rsidR="006220F6" w:rsidRDefault="00A1142A">
      <w:pPr>
        <w:spacing w:after="0" w:line="259" w:lineRule="auto"/>
        <w:ind w:left="720" w:firstLine="0"/>
      </w:pPr>
      <w:hyperlink r:id="rId5" w:history="1">
        <w:r w:rsidRPr="001300F5">
          <w:rPr>
            <w:rStyle w:val="Hyperlink"/>
            <w:rFonts w:ascii="Courier New" w:eastAsia="Courier New" w:hAnsi="Courier New" w:cs="Courier New"/>
            <w:sz w:val="20"/>
          </w:rPr>
          <w:t>greg@mhog.org</w:t>
        </w:r>
      </w:hyperlink>
      <w:r>
        <w:rPr>
          <w:rFonts w:ascii="Courier New" w:eastAsia="Courier New" w:hAnsi="Courier New" w:cs="Courier New"/>
          <w:sz w:val="20"/>
        </w:rPr>
        <w:t xml:space="preserve"> </w:t>
      </w:r>
    </w:p>
    <w:p w:rsidR="006220F6" w:rsidRDefault="00F0496B">
      <w:pPr>
        <w:spacing w:after="57" w:line="261" w:lineRule="auto"/>
        <w:ind w:left="715" w:right="-446"/>
      </w:pPr>
      <w:r>
        <w:rPr>
          <w:rFonts w:ascii="Arial" w:eastAsia="Arial" w:hAnsi="Arial" w:cs="Arial"/>
          <w:sz w:val="16"/>
        </w:rPr>
        <w:t xml:space="preserve">2911 Dorr Road Brighton, MI 48116 </w:t>
      </w:r>
    </w:p>
    <w:p w:rsidR="006220F6" w:rsidRDefault="00F0496B">
      <w:pPr>
        <w:spacing w:after="202" w:line="259" w:lineRule="auto"/>
        <w:ind w:left="720" w:firstLine="0"/>
      </w:pPr>
      <w:r>
        <w:t xml:space="preserve"> </w:t>
      </w:r>
    </w:p>
    <w:p w:rsidR="006220F6" w:rsidRDefault="00F0496B">
      <w:pPr>
        <w:spacing w:after="1277" w:line="259" w:lineRule="auto"/>
        <w:ind w:left="1505" w:firstLine="0"/>
      </w:pPr>
      <w:r>
        <w:rPr>
          <w:rFonts w:ascii="Arial" w:eastAsia="Arial" w:hAnsi="Arial" w:cs="Arial"/>
          <w:sz w:val="16"/>
        </w:rPr>
        <w:t xml:space="preserve"> </w:t>
      </w:r>
      <w:r>
        <w:rPr>
          <w:rFonts w:ascii="Arial" w:eastAsia="Arial" w:hAnsi="Arial" w:cs="Arial"/>
          <w:sz w:val="16"/>
        </w:rPr>
        <w:tab/>
        <w:t xml:space="preserve"> </w:t>
      </w:r>
    </w:p>
    <w:p w:rsidR="006220F6" w:rsidRDefault="00F0496B" w:rsidP="00A1142A">
      <w:pPr>
        <w:pStyle w:val="Heading1"/>
        <w:ind w:left="0"/>
      </w:pPr>
      <w:r>
        <w:t xml:space="preserve">Press Release </w:t>
      </w:r>
    </w:p>
    <w:p w:rsidR="006220F6" w:rsidRDefault="00F0496B">
      <w:pPr>
        <w:spacing w:after="90" w:line="259" w:lineRule="auto"/>
        <w:ind w:left="670" w:firstLine="0"/>
      </w:pPr>
      <w:r>
        <w:t xml:space="preserve"> </w:t>
      </w:r>
    </w:p>
    <w:p w:rsidR="006220F6" w:rsidRDefault="00A1142A">
      <w:pPr>
        <w:spacing w:after="0" w:line="238" w:lineRule="auto"/>
        <w:ind w:left="185" w:firstLine="0"/>
        <w:jc w:val="center"/>
      </w:pPr>
      <w:r>
        <w:rPr>
          <w:b/>
          <w:sz w:val="36"/>
        </w:rPr>
        <w:t>For Water and Waste Water Professionals Week</w:t>
      </w:r>
      <w:r w:rsidR="00F0496B">
        <w:rPr>
          <w:b/>
          <w:sz w:val="36"/>
        </w:rPr>
        <w:t>:</w:t>
      </w:r>
      <w:r>
        <w:rPr>
          <w:b/>
          <w:sz w:val="36"/>
        </w:rPr>
        <w:t xml:space="preserve"> Please Learn Some Facts About the Work of These Dedicated Team Members </w:t>
      </w:r>
    </w:p>
    <w:p w:rsidR="006220F6" w:rsidRDefault="00F0496B">
      <w:pPr>
        <w:spacing w:after="0" w:line="259" w:lineRule="auto"/>
        <w:ind w:left="670" w:firstLine="0"/>
      </w:pPr>
      <w:r>
        <w:rPr>
          <w:b/>
        </w:rPr>
        <w:t xml:space="preserve"> </w:t>
      </w:r>
    </w:p>
    <w:p w:rsidR="00141881" w:rsidRPr="00A1142A" w:rsidRDefault="00141881" w:rsidP="00A1142A">
      <w:pPr>
        <w:spacing w:after="0" w:line="259" w:lineRule="auto"/>
        <w:ind w:left="670" w:firstLine="0"/>
      </w:pPr>
    </w:p>
    <w:p w:rsidR="00141881" w:rsidRDefault="00141881" w:rsidP="00141881">
      <w:pPr>
        <w:rPr>
          <w:rFonts w:asciiTheme="minorHAnsi" w:hAnsiTheme="minorHAnsi" w:cstheme="minorBidi"/>
        </w:rPr>
      </w:pPr>
      <w:r>
        <w:rPr>
          <w:rFonts w:asciiTheme="minorHAnsi" w:hAnsiTheme="minorHAnsi" w:cstheme="minorBidi"/>
        </w:rPr>
        <w:t xml:space="preserve">For Michigan Water and Wastewater and Professional Week, we would like to </w:t>
      </w:r>
      <w:r w:rsidR="00A1142A">
        <w:rPr>
          <w:rFonts w:asciiTheme="minorHAnsi" w:hAnsiTheme="minorHAnsi" w:cstheme="minorBidi"/>
        </w:rPr>
        <w:t>acknowledge the contributions to the residents by one of</w:t>
      </w:r>
      <w:r>
        <w:rPr>
          <w:rFonts w:asciiTheme="minorHAnsi" w:hAnsiTheme="minorHAnsi" w:cstheme="minorBidi"/>
        </w:rPr>
        <w:t xml:space="preserve"> Livingston Count</w:t>
      </w:r>
      <w:r w:rsidR="00A1142A">
        <w:rPr>
          <w:rFonts w:asciiTheme="minorHAnsi" w:hAnsiTheme="minorHAnsi" w:cstheme="minorBidi"/>
        </w:rPr>
        <w:t>y’s</w:t>
      </w:r>
      <w:r>
        <w:rPr>
          <w:rFonts w:asciiTheme="minorHAnsi" w:hAnsiTheme="minorHAnsi" w:cstheme="minorBidi"/>
        </w:rPr>
        <w:t xml:space="preserve"> Largest Sewer and Water </w:t>
      </w:r>
      <w:r w:rsidR="00F0496B">
        <w:rPr>
          <w:rFonts w:asciiTheme="minorHAnsi" w:hAnsiTheme="minorHAnsi" w:cstheme="minorBidi"/>
        </w:rPr>
        <w:t xml:space="preserve">Public Service </w:t>
      </w:r>
      <w:r w:rsidR="00A1142A">
        <w:rPr>
          <w:rFonts w:asciiTheme="minorHAnsi" w:hAnsiTheme="minorHAnsi" w:cstheme="minorBidi"/>
        </w:rPr>
        <w:t>Departments</w:t>
      </w:r>
      <w:r>
        <w:rPr>
          <w:rFonts w:asciiTheme="minorHAnsi" w:hAnsiTheme="minorHAnsi" w:cstheme="minorBidi"/>
        </w:rPr>
        <w:t xml:space="preserve">.  </w:t>
      </w:r>
      <w:r w:rsidR="00A1142A">
        <w:rPr>
          <w:rFonts w:asciiTheme="minorHAnsi" w:hAnsiTheme="minorHAnsi" w:cstheme="minorBidi"/>
        </w:rPr>
        <w:t>Did you know that:</w:t>
      </w:r>
    </w:p>
    <w:p w:rsidR="00141881" w:rsidRDefault="00141881" w:rsidP="00141881">
      <w:pPr>
        <w:rPr>
          <w:rFonts w:asciiTheme="minorHAnsi" w:hAnsiTheme="minorHAnsi" w:cstheme="minorBidi"/>
        </w:rPr>
      </w:pPr>
    </w:p>
    <w:p w:rsidR="00141881" w:rsidRDefault="00F0496B" w:rsidP="00141881">
      <w:pPr>
        <w:rPr>
          <w:rFonts w:asciiTheme="minorHAnsi" w:hAnsiTheme="minorHAnsi" w:cstheme="minorBidi"/>
        </w:rPr>
      </w:pPr>
      <w:r>
        <w:rPr>
          <w:rFonts w:asciiTheme="minorHAnsi" w:hAnsiTheme="minorHAnsi" w:cstheme="minorBidi"/>
        </w:rPr>
        <w:t xml:space="preserve">The </w:t>
      </w:r>
      <w:r w:rsidR="00141881">
        <w:rPr>
          <w:rFonts w:asciiTheme="minorHAnsi" w:hAnsiTheme="minorHAnsi" w:cstheme="minorBidi"/>
        </w:rPr>
        <w:t>MHOG Utility Department, through an intergovernmental agreement of 4 Townships and 2 Sewer and Water Authorities, operates three municipal wastewater treatment plants and 2 water treatment plants in Livingston County.  This intergovernmental agreement provides each system with knowledgeable staff, shared efficiency of staff and equipment,</w:t>
      </w:r>
      <w:r>
        <w:rPr>
          <w:rFonts w:asciiTheme="minorHAnsi" w:hAnsiTheme="minorHAnsi" w:cstheme="minorBidi"/>
        </w:rPr>
        <w:t xml:space="preserve"> and</w:t>
      </w:r>
      <w:r w:rsidR="00141881">
        <w:rPr>
          <w:rFonts w:asciiTheme="minorHAnsi" w:hAnsiTheme="minorHAnsi" w:cstheme="minorBidi"/>
        </w:rPr>
        <w:t xml:space="preserve"> improved expertise</w:t>
      </w:r>
      <w:r w:rsidR="00A1142A">
        <w:rPr>
          <w:rFonts w:asciiTheme="minorHAnsi" w:hAnsiTheme="minorHAnsi" w:cstheme="minorBidi"/>
        </w:rPr>
        <w:t xml:space="preserve">, at financial threshold </w:t>
      </w:r>
      <w:r w:rsidR="00141881">
        <w:rPr>
          <w:rFonts w:asciiTheme="minorHAnsi" w:hAnsiTheme="minorHAnsi" w:cstheme="minorBidi"/>
        </w:rPr>
        <w:t xml:space="preserve">that each system would be unable to </w:t>
      </w:r>
      <w:r w:rsidR="00A1142A">
        <w:rPr>
          <w:rFonts w:asciiTheme="minorHAnsi" w:hAnsiTheme="minorHAnsi" w:cstheme="minorBidi"/>
        </w:rPr>
        <w:t>sustain</w:t>
      </w:r>
      <w:r w:rsidR="00141881">
        <w:rPr>
          <w:rFonts w:asciiTheme="minorHAnsi" w:hAnsiTheme="minorHAnsi" w:cstheme="minorBidi"/>
        </w:rPr>
        <w:t xml:space="preserve"> on their own.</w:t>
      </w:r>
    </w:p>
    <w:p w:rsidR="00141881" w:rsidRDefault="00141881" w:rsidP="00141881">
      <w:pPr>
        <w:rPr>
          <w:rFonts w:asciiTheme="minorHAnsi" w:hAnsiTheme="minorHAnsi" w:cstheme="minorBidi"/>
        </w:rPr>
      </w:pPr>
    </w:p>
    <w:p w:rsidR="00141881" w:rsidRDefault="00141881" w:rsidP="00141881">
      <w:pPr>
        <w:rPr>
          <w:rFonts w:asciiTheme="minorHAnsi" w:hAnsiTheme="minorHAnsi" w:cstheme="minorBidi"/>
        </w:rPr>
      </w:pPr>
      <w:r>
        <w:rPr>
          <w:rFonts w:asciiTheme="minorHAnsi" w:hAnsiTheme="minorHAnsi" w:cstheme="minorBidi"/>
        </w:rPr>
        <w:t xml:space="preserve">MHOG has 11 wastewater operators, 11 Water system </w:t>
      </w:r>
      <w:r w:rsidR="00A1142A">
        <w:rPr>
          <w:rFonts w:asciiTheme="minorHAnsi" w:hAnsiTheme="minorHAnsi" w:cstheme="minorBidi"/>
        </w:rPr>
        <w:t>o</w:t>
      </w:r>
      <w:r>
        <w:rPr>
          <w:rFonts w:asciiTheme="minorHAnsi" w:hAnsiTheme="minorHAnsi" w:cstheme="minorBidi"/>
        </w:rPr>
        <w:t xml:space="preserve">perators and 6 support staff that work to operate, maintain, and provides safe and reliable drinking water </w:t>
      </w:r>
      <w:r w:rsidR="00A1142A">
        <w:rPr>
          <w:rFonts w:asciiTheme="minorHAnsi" w:hAnsiTheme="minorHAnsi" w:cstheme="minorBidi"/>
        </w:rPr>
        <w:t>to approximat</w:t>
      </w:r>
      <w:r w:rsidR="00F0496B">
        <w:rPr>
          <w:rFonts w:asciiTheme="minorHAnsi" w:hAnsiTheme="minorHAnsi" w:cstheme="minorBidi"/>
        </w:rPr>
        <w:t>e</w:t>
      </w:r>
      <w:r w:rsidR="00A1142A">
        <w:rPr>
          <w:rFonts w:asciiTheme="minorHAnsi" w:hAnsiTheme="minorHAnsi" w:cstheme="minorBidi"/>
        </w:rPr>
        <w:t>ly</w:t>
      </w:r>
      <w:r>
        <w:rPr>
          <w:rFonts w:asciiTheme="minorHAnsi" w:hAnsiTheme="minorHAnsi" w:cstheme="minorBidi"/>
        </w:rPr>
        <w:t xml:space="preserve"> 20,000 Livingston </w:t>
      </w:r>
      <w:r w:rsidR="00A1142A">
        <w:rPr>
          <w:rFonts w:asciiTheme="minorHAnsi" w:hAnsiTheme="minorHAnsi" w:cstheme="minorBidi"/>
        </w:rPr>
        <w:t>C</w:t>
      </w:r>
      <w:r>
        <w:rPr>
          <w:rFonts w:asciiTheme="minorHAnsi" w:hAnsiTheme="minorHAnsi" w:cstheme="minorBidi"/>
        </w:rPr>
        <w:t xml:space="preserve">ounty residents.  </w:t>
      </w:r>
    </w:p>
    <w:p w:rsidR="00141881" w:rsidRDefault="00141881" w:rsidP="00141881">
      <w:pPr>
        <w:rPr>
          <w:rFonts w:asciiTheme="minorHAnsi" w:hAnsiTheme="minorHAnsi" w:cstheme="minorBidi"/>
        </w:rPr>
      </w:pPr>
    </w:p>
    <w:p w:rsidR="00141881" w:rsidRDefault="00141881" w:rsidP="00141881">
      <w:pPr>
        <w:rPr>
          <w:rFonts w:asciiTheme="minorHAnsi" w:hAnsiTheme="minorHAnsi" w:cstheme="minorBidi"/>
        </w:rPr>
      </w:pPr>
      <w:r>
        <w:rPr>
          <w:rFonts w:asciiTheme="minorHAnsi" w:hAnsiTheme="minorHAnsi" w:cstheme="minorBidi"/>
        </w:rPr>
        <w:t>MHOG staff works 365 Days a Year, ensuring that our customers maintain service on Holidays and Weekends.  In addition, during</w:t>
      </w:r>
      <w:r w:rsidR="00F0496B">
        <w:rPr>
          <w:rFonts w:asciiTheme="minorHAnsi" w:hAnsiTheme="minorHAnsi" w:cstheme="minorBidi"/>
        </w:rPr>
        <w:t xml:space="preserve"> severe</w:t>
      </w:r>
      <w:r>
        <w:rPr>
          <w:rFonts w:asciiTheme="minorHAnsi" w:hAnsiTheme="minorHAnsi" w:cstheme="minorBidi"/>
        </w:rPr>
        <w:t xml:space="preserve"> weather</w:t>
      </w:r>
      <w:r w:rsidR="004D0C56">
        <w:rPr>
          <w:rFonts w:asciiTheme="minorHAnsi" w:hAnsiTheme="minorHAnsi" w:cstheme="minorBidi"/>
        </w:rPr>
        <w:t>,</w:t>
      </w:r>
      <w:r>
        <w:rPr>
          <w:rFonts w:asciiTheme="minorHAnsi" w:hAnsiTheme="minorHAnsi" w:cstheme="minorBidi"/>
        </w:rPr>
        <w:t xml:space="preserve"> storms</w:t>
      </w:r>
      <w:r w:rsidR="004D0C56">
        <w:rPr>
          <w:rFonts w:asciiTheme="minorHAnsi" w:hAnsiTheme="minorHAnsi" w:cstheme="minorBidi"/>
        </w:rPr>
        <w:t>,</w:t>
      </w:r>
      <w:r>
        <w:rPr>
          <w:rFonts w:asciiTheme="minorHAnsi" w:hAnsiTheme="minorHAnsi" w:cstheme="minorBidi"/>
        </w:rPr>
        <w:t xml:space="preserve"> and power outages, operations </w:t>
      </w:r>
      <w:r>
        <w:rPr>
          <w:rFonts w:asciiTheme="minorHAnsi" w:hAnsiTheme="minorHAnsi" w:cstheme="minorBidi"/>
        </w:rPr>
        <w:lastRenderedPageBreak/>
        <w:t>staff will work non-stop for days to keep power to sewer systems and water pumping stations to sustain water pressure and prevent sanitary sewer backups.</w:t>
      </w:r>
    </w:p>
    <w:p w:rsidR="00141881" w:rsidRDefault="00141881" w:rsidP="00141881">
      <w:pPr>
        <w:rPr>
          <w:rFonts w:asciiTheme="minorHAnsi" w:hAnsiTheme="minorHAnsi" w:cstheme="minorBidi"/>
        </w:rPr>
      </w:pPr>
    </w:p>
    <w:p w:rsidR="00141881" w:rsidRDefault="00141881" w:rsidP="00141881">
      <w:pPr>
        <w:rPr>
          <w:rFonts w:asciiTheme="minorHAnsi" w:hAnsiTheme="minorHAnsi" w:cstheme="minorBidi"/>
        </w:rPr>
      </w:pPr>
      <w:r>
        <w:rPr>
          <w:rFonts w:asciiTheme="minorHAnsi" w:hAnsiTheme="minorHAnsi" w:cstheme="minorBidi"/>
        </w:rPr>
        <w:t xml:space="preserve">In 2023, MHOG Utilities treated over </w:t>
      </w:r>
      <w:r w:rsidR="004D0C56">
        <w:rPr>
          <w:rFonts w:asciiTheme="minorHAnsi" w:hAnsiTheme="minorHAnsi" w:cstheme="minorBidi"/>
        </w:rPr>
        <w:t>500,000,000</w:t>
      </w:r>
      <w:r>
        <w:rPr>
          <w:rFonts w:asciiTheme="minorHAnsi" w:hAnsiTheme="minorHAnsi" w:cstheme="minorBidi"/>
        </w:rPr>
        <w:t xml:space="preserve"> gallons of wastewater in the past year and returned in safely to the environment meeting all permit limits</w:t>
      </w:r>
    </w:p>
    <w:p w:rsidR="00141881" w:rsidRDefault="00141881" w:rsidP="00141881">
      <w:pPr>
        <w:rPr>
          <w:rFonts w:asciiTheme="minorHAnsi" w:hAnsiTheme="minorHAnsi" w:cstheme="minorBidi"/>
        </w:rPr>
      </w:pPr>
    </w:p>
    <w:p w:rsidR="00141881" w:rsidRDefault="00141881" w:rsidP="00141881">
      <w:pPr>
        <w:rPr>
          <w:rFonts w:asciiTheme="minorHAnsi" w:hAnsiTheme="minorHAnsi" w:cstheme="minorBidi"/>
        </w:rPr>
      </w:pPr>
      <w:r>
        <w:rPr>
          <w:rFonts w:asciiTheme="minorHAnsi" w:hAnsiTheme="minorHAnsi" w:cstheme="minorBidi"/>
        </w:rPr>
        <w:t xml:space="preserve">In 2023 MHOG Utilities treated and delivered nearly </w:t>
      </w:r>
      <w:r w:rsidR="004D0C56">
        <w:rPr>
          <w:rFonts w:asciiTheme="minorHAnsi" w:hAnsiTheme="minorHAnsi" w:cstheme="minorBidi"/>
        </w:rPr>
        <w:t>750,000,000</w:t>
      </w:r>
      <w:r>
        <w:rPr>
          <w:rFonts w:asciiTheme="minorHAnsi" w:hAnsiTheme="minorHAnsi" w:cstheme="minorBidi"/>
        </w:rPr>
        <w:t xml:space="preserve"> gallons of water of safe drinking water </w:t>
      </w:r>
    </w:p>
    <w:p w:rsidR="00141881" w:rsidRDefault="00141881" w:rsidP="00141881">
      <w:pPr>
        <w:rPr>
          <w:rFonts w:asciiTheme="minorHAnsi" w:hAnsiTheme="minorHAnsi" w:cstheme="minorBidi"/>
        </w:rPr>
      </w:pPr>
    </w:p>
    <w:p w:rsidR="00141881" w:rsidRDefault="00141881" w:rsidP="00141881">
      <w:pPr>
        <w:rPr>
          <w:rFonts w:asciiTheme="minorHAnsi" w:hAnsiTheme="minorHAnsi" w:cstheme="minorBidi"/>
        </w:rPr>
      </w:pPr>
      <w:r>
        <w:rPr>
          <w:rFonts w:asciiTheme="minorHAnsi" w:hAnsiTheme="minorHAnsi" w:cstheme="minorBidi"/>
        </w:rPr>
        <w:t>MHOG maintains</w:t>
      </w:r>
      <w:r w:rsidR="004D0C56">
        <w:rPr>
          <w:rFonts w:asciiTheme="minorHAnsi" w:hAnsiTheme="minorHAnsi" w:cstheme="minorBidi"/>
        </w:rPr>
        <w:t xml:space="preserve"> approximately</w:t>
      </w:r>
      <w:r>
        <w:rPr>
          <w:rFonts w:asciiTheme="minorHAnsi" w:hAnsiTheme="minorHAnsi" w:cstheme="minorBidi"/>
        </w:rPr>
        <w:t xml:space="preserve"> 320 Miles of </w:t>
      </w:r>
      <w:r w:rsidR="004D0C56">
        <w:rPr>
          <w:rFonts w:asciiTheme="minorHAnsi" w:hAnsiTheme="minorHAnsi" w:cstheme="minorBidi"/>
        </w:rPr>
        <w:t>p</w:t>
      </w:r>
      <w:r>
        <w:rPr>
          <w:rFonts w:asciiTheme="minorHAnsi" w:hAnsiTheme="minorHAnsi" w:cstheme="minorBidi"/>
        </w:rPr>
        <w:t xml:space="preserve">ipe </w:t>
      </w:r>
      <w:r w:rsidR="004D0C56">
        <w:rPr>
          <w:rFonts w:asciiTheme="minorHAnsi" w:hAnsiTheme="minorHAnsi" w:cstheme="minorBidi"/>
        </w:rPr>
        <w:t>n</w:t>
      </w:r>
      <w:r>
        <w:rPr>
          <w:rFonts w:asciiTheme="minorHAnsi" w:hAnsiTheme="minorHAnsi" w:cstheme="minorBidi"/>
        </w:rPr>
        <w:t>etwork, which if stretched out</w:t>
      </w:r>
      <w:r w:rsidR="004D0C56">
        <w:rPr>
          <w:rFonts w:asciiTheme="minorHAnsi" w:hAnsiTheme="minorHAnsi" w:cstheme="minorBidi"/>
        </w:rPr>
        <w:t>,</w:t>
      </w:r>
      <w:r>
        <w:rPr>
          <w:rFonts w:asciiTheme="minorHAnsi" w:hAnsiTheme="minorHAnsi" w:cstheme="minorBidi"/>
        </w:rPr>
        <w:t xml:space="preserve"> would go from Howell, MI to Lexi</w:t>
      </w:r>
      <w:r w:rsidR="00F0496B">
        <w:rPr>
          <w:rFonts w:asciiTheme="minorHAnsi" w:hAnsiTheme="minorHAnsi" w:cstheme="minorBidi"/>
        </w:rPr>
        <w:t>n</w:t>
      </w:r>
      <w:r>
        <w:rPr>
          <w:rFonts w:asciiTheme="minorHAnsi" w:hAnsiTheme="minorHAnsi" w:cstheme="minorBidi"/>
        </w:rPr>
        <w:t>gton, KY.</w:t>
      </w:r>
    </w:p>
    <w:p w:rsidR="00141881" w:rsidRDefault="00141881" w:rsidP="00141881">
      <w:pPr>
        <w:rPr>
          <w:rFonts w:asciiTheme="minorHAnsi" w:hAnsiTheme="minorHAnsi" w:cstheme="minorBidi"/>
        </w:rPr>
      </w:pPr>
    </w:p>
    <w:p w:rsidR="00141881" w:rsidRDefault="00141881" w:rsidP="00141881">
      <w:pPr>
        <w:shd w:val="clear" w:color="auto" w:fill="FFFFFF"/>
        <w:spacing w:after="100" w:afterAutospacing="1"/>
        <w:rPr>
          <w:rFonts w:asciiTheme="minorHAnsi" w:hAnsiTheme="minorHAnsi" w:cstheme="minorHAnsi"/>
        </w:rPr>
      </w:pPr>
      <w:r>
        <w:rPr>
          <w:rFonts w:asciiTheme="minorHAnsi" w:hAnsiTheme="minorHAnsi" w:cstheme="minorHAnsi"/>
        </w:rPr>
        <w:t>According to the Center for Diseas</w:t>
      </w:r>
      <w:r w:rsidR="00F0496B">
        <w:rPr>
          <w:rFonts w:asciiTheme="minorHAnsi" w:hAnsiTheme="minorHAnsi" w:cstheme="minorHAnsi"/>
        </w:rPr>
        <w:t>e</w:t>
      </w:r>
      <w:bookmarkStart w:id="0" w:name="_GoBack"/>
      <w:bookmarkEnd w:id="0"/>
      <w:r>
        <w:rPr>
          <w:rFonts w:asciiTheme="minorHAnsi" w:hAnsiTheme="minorHAnsi" w:cstheme="minorHAnsi"/>
        </w:rPr>
        <w:t xml:space="preserve"> control, public drinking water disinfection and treatment along with proper waste water treatment has been one of the greatest public health achievements of the 20th century.  As an example, Cholera in the US has dropped from 100 cases per 100,000 people in 1900 to 0.1 cases per 100,000 currently.</w:t>
      </w:r>
    </w:p>
    <w:p w:rsidR="00A1142A" w:rsidRDefault="00A1142A" w:rsidP="00141881">
      <w:pPr>
        <w:shd w:val="clear" w:color="auto" w:fill="FFFFFF"/>
        <w:spacing w:after="100" w:afterAutospacing="1"/>
        <w:rPr>
          <w:rFonts w:asciiTheme="minorHAnsi" w:hAnsiTheme="minorHAnsi" w:cstheme="minorHAnsi"/>
        </w:rPr>
      </w:pPr>
      <w:r>
        <w:rPr>
          <w:rFonts w:asciiTheme="minorHAnsi" w:hAnsiTheme="minorHAnsi" w:cstheme="minorHAnsi"/>
        </w:rPr>
        <w:t xml:space="preserve">During the </w:t>
      </w:r>
      <w:proofErr w:type="spellStart"/>
      <w:r>
        <w:rPr>
          <w:rFonts w:asciiTheme="minorHAnsi" w:hAnsiTheme="minorHAnsi" w:cstheme="minorHAnsi"/>
        </w:rPr>
        <w:t>Covid</w:t>
      </w:r>
      <w:proofErr w:type="spellEnd"/>
      <w:r>
        <w:rPr>
          <w:rFonts w:asciiTheme="minorHAnsi" w:hAnsiTheme="minorHAnsi" w:cstheme="minorHAnsi"/>
        </w:rPr>
        <w:t xml:space="preserve"> Pandemic, MHOG staff worked un-interrupted in the treatment plants, field, and office each day to assure that safe drinking water and wastewater sanitation was available for all residents at home and in medical establishments. </w:t>
      </w:r>
    </w:p>
    <w:p w:rsidR="00141881" w:rsidRDefault="00141881" w:rsidP="00141881">
      <w:pPr>
        <w:rPr>
          <w:rFonts w:asciiTheme="minorHAnsi" w:eastAsiaTheme="minorHAnsi" w:hAnsiTheme="minorHAnsi" w:cstheme="minorBidi"/>
          <w:color w:val="auto"/>
        </w:rPr>
      </w:pPr>
      <w:r>
        <w:rPr>
          <w:rFonts w:asciiTheme="minorHAnsi" w:hAnsiTheme="minorHAnsi" w:cstheme="minorBidi"/>
        </w:rPr>
        <w:t>Our staff, along with all other professionals in the water and sewer treatment industry deserve our appreciation as their thankless work provides not only health benefits, but also the economic back bone for</w:t>
      </w:r>
      <w:r w:rsidR="00F0496B">
        <w:rPr>
          <w:rFonts w:asciiTheme="minorHAnsi" w:hAnsiTheme="minorHAnsi" w:cstheme="minorBidi"/>
        </w:rPr>
        <w:t xml:space="preserve"> the</w:t>
      </w:r>
      <w:r>
        <w:rPr>
          <w:rFonts w:asciiTheme="minorHAnsi" w:hAnsiTheme="minorHAnsi" w:cstheme="minorBidi"/>
        </w:rPr>
        <w:t xml:space="preserve"> jobs and industry that fuel our nation.  </w:t>
      </w:r>
    </w:p>
    <w:p w:rsidR="00141881" w:rsidRDefault="00141881" w:rsidP="00141881">
      <w:pPr>
        <w:rPr>
          <w:rFonts w:asciiTheme="minorHAnsi" w:hAnsiTheme="minorHAnsi" w:cstheme="minorBidi"/>
        </w:rPr>
      </w:pPr>
    </w:p>
    <w:p w:rsidR="00141881" w:rsidRDefault="00141881" w:rsidP="00141881">
      <w:pPr>
        <w:rPr>
          <w:rFonts w:asciiTheme="minorHAnsi" w:hAnsiTheme="minorHAnsi" w:cstheme="minorBidi"/>
        </w:rPr>
      </w:pPr>
    </w:p>
    <w:p w:rsidR="006220F6" w:rsidRDefault="00F0496B">
      <w:pPr>
        <w:spacing w:after="116" w:line="259" w:lineRule="auto"/>
        <w:ind w:left="670" w:firstLine="0"/>
      </w:pPr>
      <w:r>
        <w:t xml:space="preserve"> </w:t>
      </w:r>
    </w:p>
    <w:p w:rsidR="00F0496B" w:rsidRDefault="00F0496B">
      <w:pPr>
        <w:spacing w:after="116" w:line="259" w:lineRule="auto"/>
        <w:ind w:left="670" w:firstLine="0"/>
      </w:pPr>
    </w:p>
    <w:p w:rsidR="00F0496B" w:rsidRDefault="00F0496B">
      <w:pPr>
        <w:spacing w:after="116" w:line="259" w:lineRule="auto"/>
        <w:ind w:left="670" w:firstLine="0"/>
      </w:pPr>
    </w:p>
    <w:p w:rsidR="00F0496B" w:rsidRDefault="00F0496B">
      <w:pPr>
        <w:spacing w:after="116" w:line="259" w:lineRule="auto"/>
        <w:ind w:left="670" w:firstLine="0"/>
      </w:pPr>
    </w:p>
    <w:p w:rsidR="00F0496B" w:rsidRDefault="00F0496B">
      <w:pPr>
        <w:spacing w:after="116" w:line="259" w:lineRule="auto"/>
        <w:ind w:left="670" w:firstLine="0"/>
      </w:pPr>
    </w:p>
    <w:p w:rsidR="00F0496B" w:rsidRDefault="00F0496B">
      <w:pPr>
        <w:spacing w:after="116" w:line="259" w:lineRule="auto"/>
        <w:ind w:left="670" w:firstLine="0"/>
      </w:pPr>
    </w:p>
    <w:p w:rsidR="006220F6" w:rsidRDefault="00F0496B">
      <w:pPr>
        <w:spacing w:after="0" w:line="259" w:lineRule="auto"/>
        <w:ind w:left="670" w:firstLine="0"/>
      </w:pPr>
      <w:r>
        <w:rPr>
          <w:b/>
          <w:color w:val="FFFFFF"/>
        </w:rPr>
        <w:t xml:space="preserve"> </w:t>
      </w:r>
      <w:r>
        <w:rPr>
          <w:b/>
          <w:color w:val="FFFFFF"/>
        </w:rPr>
        <w:tab/>
        <w:t xml:space="preserve"> </w:t>
      </w:r>
      <w:r>
        <w:rPr>
          <w:b/>
          <w:color w:val="FFFFFF"/>
        </w:rPr>
        <w:tab/>
        <w:t xml:space="preserve"> </w:t>
      </w:r>
      <w:r>
        <w:rPr>
          <w:b/>
          <w:color w:val="FFFFFF"/>
        </w:rPr>
        <w:tab/>
        <w:t xml:space="preserve"> </w:t>
      </w:r>
      <w:r>
        <w:rPr>
          <w:b/>
          <w:color w:val="FFFFFF"/>
        </w:rPr>
        <w:tab/>
        <w:t xml:space="preserve"> </w:t>
      </w:r>
      <w:r>
        <w:rPr>
          <w:b/>
          <w:color w:val="FFFFFF"/>
        </w:rPr>
        <w:tab/>
        <w:t xml:space="preserve"> </w:t>
      </w:r>
      <w:r>
        <w:rPr>
          <w:b/>
          <w:color w:val="FFFFFF"/>
        </w:rPr>
        <w:tab/>
        <w:t xml:space="preserve"> </w:t>
      </w:r>
    </w:p>
    <w:p w:rsidR="006220F6" w:rsidRDefault="00F0496B">
      <w:pPr>
        <w:spacing w:after="0" w:line="259" w:lineRule="auto"/>
        <w:ind w:left="670" w:firstLine="0"/>
      </w:pPr>
      <w:r>
        <w:t xml:space="preserve"> </w:t>
      </w:r>
    </w:p>
    <w:p w:rsidR="006220F6" w:rsidRDefault="00F0496B">
      <w:pPr>
        <w:spacing w:after="0" w:line="259" w:lineRule="auto"/>
        <w:ind w:left="677" w:firstLine="0"/>
        <w:jc w:val="center"/>
      </w:pPr>
      <w:r>
        <w:rPr>
          <w:b/>
          <w:sz w:val="20"/>
        </w:rPr>
        <w:t xml:space="preserve">Don't Barrel Through Work Zones! – Give Worker’s A Break </w:t>
      </w:r>
    </w:p>
    <w:p w:rsidR="006220F6" w:rsidRDefault="00F0496B">
      <w:pPr>
        <w:spacing w:after="0" w:line="259" w:lineRule="auto"/>
        <w:ind w:left="728" w:firstLine="0"/>
        <w:jc w:val="center"/>
      </w:pPr>
      <w:r>
        <w:rPr>
          <w:b/>
          <w:sz w:val="20"/>
        </w:rPr>
        <w:t xml:space="preserve"> </w:t>
      </w:r>
    </w:p>
    <w:p w:rsidR="006220F6" w:rsidRDefault="00F0496B">
      <w:pPr>
        <w:spacing w:after="0" w:line="259" w:lineRule="auto"/>
        <w:ind w:left="728" w:firstLine="0"/>
        <w:jc w:val="center"/>
      </w:pPr>
      <w:r>
        <w:rPr>
          <w:sz w:val="20"/>
        </w:rPr>
        <w:t xml:space="preserve"> </w:t>
      </w:r>
    </w:p>
    <w:sectPr w:rsidR="006220F6">
      <w:pgSz w:w="12240" w:h="15840"/>
      <w:pgMar w:top="189" w:right="1448" w:bottom="359" w:left="77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F6"/>
    <w:rsid w:val="00141881"/>
    <w:rsid w:val="004D0C56"/>
    <w:rsid w:val="006220F6"/>
    <w:rsid w:val="00A1142A"/>
    <w:rsid w:val="00F0496B"/>
    <w:rsid w:val="00F76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6208"/>
  <w15:docId w15:val="{09C85F27-A956-4BC4-BE0F-2786F2872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57" w:lineRule="auto"/>
      <w:ind w:left="680"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670"/>
      <w:outlineLvl w:val="0"/>
    </w:pPr>
    <w:rPr>
      <w:rFonts w:ascii="Arial" w:eastAsia="Arial" w:hAnsi="Arial" w:cs="Arial"/>
      <w:color w:val="7F7F7F"/>
      <w:sz w:val="10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7F7F7F"/>
      <w:sz w:val="108"/>
    </w:rPr>
  </w:style>
  <w:style w:type="character" w:styleId="Hyperlink">
    <w:name w:val="Hyperlink"/>
    <w:basedOn w:val="DefaultParagraphFont"/>
    <w:uiPriority w:val="99"/>
    <w:unhideWhenUsed/>
    <w:rsid w:val="00A1142A"/>
    <w:rPr>
      <w:color w:val="0563C1" w:themeColor="hyperlink"/>
      <w:u w:val="single"/>
    </w:rPr>
  </w:style>
  <w:style w:type="character" w:styleId="UnresolvedMention">
    <w:name w:val="Unresolved Mention"/>
    <w:basedOn w:val="DefaultParagraphFont"/>
    <w:uiPriority w:val="99"/>
    <w:semiHidden/>
    <w:unhideWhenUsed/>
    <w:rsid w:val="00A114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148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greg@mhog.org"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Microsoft Word - MHOG 2012 Water Project Press Release - GMT</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MHOG 2012 Water Project Press Release - GMT</dc:title>
  <dc:subject/>
  <dc:creator>Ashley</dc:creator>
  <cp:keywords/>
  <cp:lastModifiedBy>Greg Tatara</cp:lastModifiedBy>
  <cp:revision>4</cp:revision>
  <dcterms:created xsi:type="dcterms:W3CDTF">2023-12-11T19:34:00Z</dcterms:created>
  <dcterms:modified xsi:type="dcterms:W3CDTF">2023-12-11T19:51:00Z</dcterms:modified>
</cp:coreProperties>
</file>