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EFD22" w14:textId="2D06752B" w:rsidR="00401E3E" w:rsidRDefault="000C5B8E">
      <w:r>
        <w:rPr>
          <w:noProof/>
        </w:rPr>
        <w:drawing>
          <wp:anchor distT="0" distB="0" distL="114300" distR="114300" simplePos="0" relativeHeight="251659264" behindDoc="0" locked="0" layoutInCell="1" allowOverlap="1" wp14:anchorId="3E403C4B" wp14:editId="01F2C458">
            <wp:simplePos x="0" y="0"/>
            <wp:positionH relativeFrom="margin">
              <wp:posOffset>180975</wp:posOffset>
            </wp:positionH>
            <wp:positionV relativeFrom="paragraph">
              <wp:posOffset>-76200</wp:posOffset>
            </wp:positionV>
            <wp:extent cx="2113289" cy="89535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Foundation Log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47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DF5">
        <w:rPr>
          <w:noProof/>
        </w:rPr>
        <w:drawing>
          <wp:anchor distT="0" distB="0" distL="114300" distR="114300" simplePos="0" relativeHeight="251685888" behindDoc="0" locked="0" layoutInCell="1" allowOverlap="1" wp14:anchorId="3C6125F6" wp14:editId="7F9F395A">
            <wp:simplePos x="0" y="0"/>
            <wp:positionH relativeFrom="page">
              <wp:posOffset>5133975</wp:posOffset>
            </wp:positionH>
            <wp:positionV relativeFrom="paragraph">
              <wp:posOffset>437</wp:posOffset>
            </wp:positionV>
            <wp:extent cx="2518410" cy="1322903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tary MITT Logo 20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721" cy="1325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8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CCE8D" wp14:editId="645D462E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361950" cy="10039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03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F0D9" id="Rectangle 4" o:spid="_x0000_s1026" style="position:absolute;margin-left:0;margin-top:-36.75pt;width:28.5pt;height:790.5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" fillcolor="#5b9bd5 [3204]" strokecolor="#1f4d78 [1604]" strokeweight="1pt">
                <w10:wrap anchorx="page"/>
              </v:rect>
            </w:pict>
          </mc:Fallback>
        </mc:AlternateContent>
      </w:r>
      <w:r w:rsidR="007828A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A60A8B" wp14:editId="7575971F">
                <wp:simplePos x="0" y="0"/>
                <wp:positionH relativeFrom="column">
                  <wp:posOffset>-1581150</wp:posOffset>
                </wp:positionH>
                <wp:positionV relativeFrom="paragraph">
                  <wp:posOffset>-161290</wp:posOffset>
                </wp:positionV>
                <wp:extent cx="209550" cy="10020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020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9922" id="Rectangle 9" o:spid="_x0000_s1026" style="position:absolute;margin-left:-124.5pt;margin-top:-12.7pt;width:16.5pt;height:7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" fillcolor="#92d050" strokecolor="#1f4d78 [1604]" strokeweight="1pt"/>
            </w:pict>
          </mc:Fallback>
        </mc:AlternateContent>
      </w:r>
      <w:r w:rsidR="00FA05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E558D" wp14:editId="0A042617">
                <wp:simplePos x="0" y="0"/>
                <wp:positionH relativeFrom="column">
                  <wp:posOffset>-409575</wp:posOffset>
                </wp:positionH>
                <wp:positionV relativeFrom="paragraph">
                  <wp:posOffset>-457200</wp:posOffset>
                </wp:positionV>
                <wp:extent cx="485775" cy="10029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0029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B3C9B" id="Rectangle 1" o:spid="_x0000_s1026" style="position:absolute;margin-left:-32.25pt;margin-top:-36pt;width:38.25pt;height:78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" fillcolor="#ffc000 [3207]" strokecolor="#7f5f00 [1607]" strokeweight="1pt"/>
            </w:pict>
          </mc:Fallback>
        </mc:AlternateContent>
      </w:r>
    </w:p>
    <w:p w14:paraId="73A1D74B" w14:textId="3383F256" w:rsidR="00401E3E" w:rsidRDefault="00401E3E"/>
    <w:p w14:paraId="22CD5634" w14:textId="01A40BD2" w:rsidR="00401E3E" w:rsidRDefault="00401E3E"/>
    <w:p w14:paraId="2BFB16C5" w14:textId="6D2367DE" w:rsidR="00A7658D" w:rsidRPr="000C5B8E" w:rsidRDefault="00A7658D" w:rsidP="000C5B8E">
      <w:pPr>
        <w:ind w:left="270"/>
        <w:jc w:val="center"/>
        <w:rPr>
          <w:color w:val="70AD47" w:themeColor="accent6"/>
        </w:rPr>
      </w:pPr>
      <w:r w:rsidRPr="000C5B8E">
        <w:rPr>
          <w:noProof/>
          <w:color w:val="70AD47" w:themeColor="accent6"/>
        </w:rPr>
        <w:drawing>
          <wp:anchor distT="0" distB="0" distL="114300" distR="114300" simplePos="0" relativeHeight="251689984" behindDoc="0" locked="0" layoutInCell="1" allowOverlap="1" wp14:anchorId="2D99A11D" wp14:editId="4280860D">
            <wp:simplePos x="0" y="0"/>
            <wp:positionH relativeFrom="column">
              <wp:posOffset>13042900</wp:posOffset>
            </wp:positionH>
            <wp:positionV relativeFrom="paragraph">
              <wp:posOffset>146685</wp:posOffset>
            </wp:positionV>
            <wp:extent cx="2795270" cy="1606550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B8E">
        <w:rPr>
          <w:rFonts w:cstheme="minorHAnsi"/>
          <w:b/>
          <w:iCs/>
          <w:caps/>
          <w:color w:val="70AD47" w:themeColor="accent6"/>
          <w:sz w:val="40"/>
          <w:szCs w:val="40"/>
        </w:rPr>
        <w:t>2022</w:t>
      </w:r>
      <w:r w:rsidRPr="000C5B8E">
        <w:rPr>
          <w:rFonts w:cstheme="minorHAnsi"/>
          <w:b/>
          <w:iCs/>
          <w:caps/>
          <w:color w:val="70AD47" w:themeColor="accent6"/>
          <w:sz w:val="40"/>
          <w:szCs w:val="40"/>
        </w:rPr>
        <w:t xml:space="preserve"> Midnight in the Tropics Beneficiaries</w:t>
      </w:r>
    </w:p>
    <w:p w14:paraId="2804177B" w14:textId="089C2138" w:rsidR="00A7658D" w:rsidRDefault="00A7658D" w:rsidP="00A7658D">
      <w:pPr>
        <w:pStyle w:val="NoSpacing"/>
        <w:ind w:left="270"/>
        <w:rPr>
          <w:rFonts w:cstheme="minorHAnsi"/>
          <w:b/>
          <w:bCs/>
        </w:rPr>
      </w:pPr>
      <w:r>
        <w:rPr>
          <w:rFonts w:cstheme="minorHAnsi"/>
          <w:b/>
          <w:bCs/>
        </w:rPr>
        <w:t>This year Livingston Sunrise Rotary Foundation selected the Livingston County non-profit organi</w:t>
      </w:r>
      <w:r>
        <w:rPr>
          <w:rFonts w:cstheme="minorHAnsi"/>
          <w:b/>
          <w:bCs/>
        </w:rPr>
        <w:t>zations listed below as our 2022</w:t>
      </w:r>
      <w:r>
        <w:rPr>
          <w:rFonts w:cstheme="minorHAnsi"/>
          <w:b/>
          <w:bCs/>
        </w:rPr>
        <w:t xml:space="preserve"> event beneficiaries.  </w:t>
      </w:r>
      <w:r>
        <w:rPr>
          <w:rFonts w:cstheme="minorHAnsi"/>
          <w:b/>
          <w:bCs/>
        </w:rPr>
        <w:t>In the last seven</w:t>
      </w:r>
      <w:r>
        <w:rPr>
          <w:rFonts w:cstheme="minorHAnsi"/>
          <w:b/>
          <w:bCs/>
        </w:rPr>
        <w:t xml:space="preserve"> years, through the proceeds of this annual event, we have returned </w:t>
      </w:r>
      <w:r w:rsidRPr="00A7658D">
        <w:rPr>
          <w:rFonts w:cstheme="minorHAnsi"/>
          <w:b/>
          <w:bCs/>
          <w:color w:val="FF0000"/>
        </w:rPr>
        <w:t>over $550,000</w:t>
      </w:r>
      <w:r>
        <w:rPr>
          <w:rFonts w:cstheme="minorHAnsi"/>
          <w:b/>
          <w:bCs/>
        </w:rPr>
        <w:t>+ through our beneficiary/grant process.</w:t>
      </w:r>
    </w:p>
    <w:p w14:paraId="68B30874" w14:textId="3758434D" w:rsidR="000C5B8E" w:rsidRDefault="000C5B8E" w:rsidP="00A7658D">
      <w:pPr>
        <w:pStyle w:val="NoSpacing"/>
        <w:ind w:left="270"/>
        <w:rPr>
          <w:rFonts w:cstheme="minorHAnsi"/>
          <w:b/>
          <w:bCs/>
        </w:rPr>
      </w:pPr>
    </w:p>
    <w:p w14:paraId="501AAFCC" w14:textId="55462D2F" w:rsidR="000C5B8E" w:rsidRPr="00B738C3" w:rsidRDefault="00B738C3" w:rsidP="00B738C3">
      <w:pPr>
        <w:pStyle w:val="NoSpacing"/>
        <w:ind w:left="270"/>
        <w:jc w:val="center"/>
        <w:rPr>
          <w:rFonts w:cstheme="minorHAnsi"/>
          <w:b/>
          <w:bCs/>
          <w:color w:val="70AD47" w:themeColor="accent6"/>
        </w:rPr>
      </w:pPr>
      <w:r w:rsidRPr="00B738C3">
        <w:rPr>
          <w:rFonts w:cstheme="minorHAnsi"/>
          <w:b/>
          <w:bCs/>
          <w:color w:val="70AD47" w:themeColor="accent6"/>
        </w:rPr>
        <w:t>These 2022 beneficiaries all serve the critical needs of at-risk youth in our Community</w:t>
      </w:r>
    </w:p>
    <w:p w14:paraId="5BB6415E" w14:textId="6918627C" w:rsidR="000C5B8E" w:rsidRDefault="000C5B8E" w:rsidP="00B738C3">
      <w:pPr>
        <w:pStyle w:val="NoSpacing"/>
        <w:rPr>
          <w:rFonts w:cstheme="minorHAnsi"/>
          <w:b/>
          <w:bCs/>
        </w:rPr>
        <w:sectPr w:rsidR="000C5B8E" w:rsidSect="00DB54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418626" w14:textId="21A3460B" w:rsidR="00A7658D" w:rsidRPr="00B738C3" w:rsidRDefault="00A7658D" w:rsidP="001D1798">
      <w:pPr>
        <w:pStyle w:val="NoSpacing"/>
        <w:rPr>
          <w:rFonts w:cstheme="minorHAnsi"/>
          <w:b/>
          <w:bCs/>
        </w:rPr>
      </w:pPr>
    </w:p>
    <w:p w14:paraId="2CC4391F" w14:textId="0FC2D018" w:rsidR="00A7658D" w:rsidRDefault="00B738C3" w:rsidP="000C5B8E">
      <w:pPr>
        <w:pStyle w:val="NoSpacing"/>
        <w:ind w:left="270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934E576" wp14:editId="56755861">
            <wp:simplePos x="0" y="0"/>
            <wp:positionH relativeFrom="column">
              <wp:posOffset>171450</wp:posOffset>
            </wp:positionH>
            <wp:positionV relativeFrom="paragraph">
              <wp:posOffset>69215</wp:posOffset>
            </wp:positionV>
            <wp:extent cx="590550" cy="668655"/>
            <wp:effectExtent l="0" t="0" r="0" b="0"/>
            <wp:wrapSquare wrapText="bothSides"/>
            <wp:docPr id="16" name="Picture 16" descr="Reaching Higher for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ching Higher for Lif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798">
        <w:rPr>
          <w:rFonts w:cstheme="minorHAnsi"/>
          <w:b/>
          <w:bCs/>
        </w:rPr>
        <w:t>Reaching Higher</w:t>
      </w:r>
    </w:p>
    <w:p w14:paraId="7ED02184" w14:textId="4172E9F8" w:rsidR="00A7658D" w:rsidRDefault="001D1798" w:rsidP="000C5B8E">
      <w:pPr>
        <w:pStyle w:val="NoSpacing"/>
        <w:ind w:left="270" w:firstLine="4"/>
        <w:rPr>
          <w:rFonts w:cstheme="minorHAnsi"/>
        </w:rPr>
      </w:pPr>
      <w:hyperlink r:id="rId11" w:history="1">
        <w:r w:rsidRPr="008120BC">
          <w:rPr>
            <w:rStyle w:val="Hyperlink"/>
            <w:rFonts w:ascii="Calibri" w:hAnsi="Calibri" w:cs="Calibri"/>
            <w:sz w:val="18"/>
            <w:szCs w:val="18"/>
          </w:rPr>
          <w:t>https://reachinghigherinc.org/</w:t>
        </w:r>
      </w:hyperlink>
    </w:p>
    <w:p w14:paraId="11A2BB31" w14:textId="77777777" w:rsidR="00A7658D" w:rsidRDefault="00A7658D" w:rsidP="00A7658D">
      <w:pPr>
        <w:pStyle w:val="NoSpacing"/>
        <w:ind w:left="274"/>
        <w:jc w:val="both"/>
        <w:rPr>
          <w:rFonts w:cstheme="minorHAnsi"/>
          <w:sz w:val="18"/>
          <w:szCs w:val="18"/>
        </w:rPr>
      </w:pPr>
    </w:p>
    <w:p w14:paraId="15E38BAF" w14:textId="57A4D4FB" w:rsidR="00A7658D" w:rsidRPr="001D1798" w:rsidRDefault="00A7658D" w:rsidP="000C5B8E">
      <w:pPr>
        <w:autoSpaceDE w:val="0"/>
        <w:autoSpaceDN w:val="0"/>
        <w:adjustRightInd w:val="0"/>
        <w:spacing w:after="0" w:line="240" w:lineRule="auto"/>
        <w:ind w:left="274"/>
        <w:rPr>
          <w:rFonts w:ascii="Calibri" w:hAnsi="Calibri" w:cs="Calibri"/>
        </w:rPr>
      </w:pPr>
      <w:r w:rsidRPr="00A7658D">
        <w:rPr>
          <w:rFonts w:ascii="Calibri" w:hAnsi="Calibri" w:cs="Calibri"/>
        </w:rPr>
        <w:t>According to a national poll from Mott Children's Hospital, nearly three in four parents think</w:t>
      </w:r>
      <w:r w:rsidR="001D1798">
        <w:rPr>
          <w:rFonts w:ascii="Calibri" w:hAnsi="Calibri" w:cs="Calibri"/>
        </w:rPr>
        <w:t xml:space="preserve"> their teen's mental health has </w:t>
      </w:r>
      <w:r w:rsidRPr="00A7658D">
        <w:rPr>
          <w:rFonts w:ascii="Calibri" w:hAnsi="Calibri" w:cs="Calibri"/>
        </w:rPr>
        <w:t>suffered since the pandemic began. RH4Youth is needed now more than ever because too many teens today feel isolated,</w:t>
      </w:r>
      <w:r w:rsidR="001D1798">
        <w:rPr>
          <w:rFonts w:ascii="Calibri" w:hAnsi="Calibri" w:cs="Calibri"/>
        </w:rPr>
        <w:t xml:space="preserve"> </w:t>
      </w:r>
      <w:r w:rsidRPr="00A7658D">
        <w:rPr>
          <w:rFonts w:ascii="Calibri" w:hAnsi="Calibri" w:cs="Calibri"/>
        </w:rPr>
        <w:t>depressed, and hopeless. Many have lost confidence in themselves and feel powerless. S</w:t>
      </w:r>
      <w:r w:rsidR="001D1798">
        <w:rPr>
          <w:rFonts w:ascii="Calibri" w:hAnsi="Calibri" w:cs="Calibri"/>
        </w:rPr>
        <w:t xml:space="preserve">o many teens have lost sight of </w:t>
      </w:r>
      <w:r w:rsidRPr="00A7658D">
        <w:rPr>
          <w:rFonts w:ascii="Calibri" w:hAnsi="Calibri" w:cs="Calibri"/>
        </w:rPr>
        <w:t>the great potential they have and have lost the motivation to even try. Reaching Higher re</w:t>
      </w:r>
      <w:r w:rsidR="001D1798">
        <w:rPr>
          <w:rFonts w:ascii="Calibri" w:hAnsi="Calibri" w:cs="Calibri"/>
        </w:rPr>
        <w:t xml:space="preserve">stores that confidence and hope </w:t>
      </w:r>
      <w:r w:rsidRPr="00A7658D">
        <w:rPr>
          <w:rFonts w:ascii="Calibri" w:hAnsi="Calibri" w:cs="Calibri"/>
        </w:rPr>
        <w:t>through our nine-session personal leadership development program.</w:t>
      </w:r>
      <w:r w:rsidR="000C5B8E">
        <w:rPr>
          <w:rFonts w:ascii="Calibri" w:hAnsi="Calibri" w:cs="Calibri"/>
        </w:rPr>
        <w:t xml:space="preserve"> </w:t>
      </w:r>
      <w:r w:rsidRPr="00A7658D">
        <w:rPr>
          <w:rFonts w:ascii="Calibri" w:hAnsi="Calibri" w:cs="Calibri"/>
        </w:rPr>
        <w:t xml:space="preserve">Reaching Higher </w:t>
      </w:r>
      <w:r w:rsidR="000C5B8E">
        <w:rPr>
          <w:rFonts w:ascii="Calibri" w:hAnsi="Calibri" w:cs="Calibri"/>
        </w:rPr>
        <w:t xml:space="preserve">also </w:t>
      </w:r>
      <w:r w:rsidRPr="00A7658D">
        <w:rPr>
          <w:rFonts w:ascii="Calibri" w:hAnsi="Calibri" w:cs="Calibri"/>
        </w:rPr>
        <w:t>provides both positiv</w:t>
      </w:r>
      <w:r w:rsidR="001D1798">
        <w:rPr>
          <w:rFonts w:ascii="Calibri" w:hAnsi="Calibri" w:cs="Calibri"/>
        </w:rPr>
        <w:t xml:space="preserve">e adult connections through our </w:t>
      </w:r>
      <w:r w:rsidRPr="00A7658D">
        <w:rPr>
          <w:rFonts w:ascii="Calibri" w:hAnsi="Calibri" w:cs="Calibri"/>
        </w:rPr>
        <w:t>instructors and volunteer mentors and lasting peer connections through multiple class sess</w:t>
      </w:r>
      <w:r w:rsidR="001D1798">
        <w:rPr>
          <w:rFonts w:ascii="Calibri" w:hAnsi="Calibri" w:cs="Calibri"/>
        </w:rPr>
        <w:t xml:space="preserve">ions where students are able to </w:t>
      </w:r>
      <w:r w:rsidRPr="00A7658D">
        <w:rPr>
          <w:rFonts w:ascii="Calibri" w:hAnsi="Calibri" w:cs="Calibri"/>
        </w:rPr>
        <w:t>share openly and honestly with each other.</w:t>
      </w:r>
    </w:p>
    <w:p w14:paraId="775EDAA1" w14:textId="77777777" w:rsidR="001D1798" w:rsidRDefault="00A7658D" w:rsidP="00A7658D">
      <w:pPr>
        <w:autoSpaceDE w:val="0"/>
        <w:autoSpaceDN w:val="0"/>
        <w:adjustRightInd w:val="0"/>
        <w:spacing w:after="0" w:line="240" w:lineRule="auto"/>
        <w:ind w:left="274"/>
        <w:rPr>
          <w:rFonts w:cstheme="minorHAnsi"/>
        </w:rPr>
      </w:pPr>
      <w:r w:rsidRPr="00A7658D">
        <w:rPr>
          <w:rFonts w:cstheme="minorHAnsi"/>
        </w:rPr>
        <w:t xml:space="preserve">  </w:t>
      </w:r>
    </w:p>
    <w:p w14:paraId="49057154" w14:textId="0AE6BB93" w:rsidR="00A7658D" w:rsidRDefault="00B738C3" w:rsidP="000C5B8E">
      <w:pPr>
        <w:autoSpaceDE w:val="0"/>
        <w:autoSpaceDN w:val="0"/>
        <w:adjustRightInd w:val="0"/>
        <w:spacing w:after="0" w:line="240" w:lineRule="auto"/>
        <w:ind w:left="270"/>
        <w:rPr>
          <w:rFonts w:cstheme="minorHAnsi"/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1C416" wp14:editId="6571E933">
                <wp:simplePos x="0" y="0"/>
                <wp:positionH relativeFrom="margin">
                  <wp:posOffset>3667125</wp:posOffset>
                </wp:positionH>
                <wp:positionV relativeFrom="paragraph">
                  <wp:posOffset>1741805</wp:posOffset>
                </wp:positionV>
                <wp:extent cx="3486150" cy="1190625"/>
                <wp:effectExtent l="0" t="0" r="19050" b="28575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190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0BA69" w14:textId="77777777" w:rsidR="004C1536" w:rsidRPr="00800FF5" w:rsidRDefault="004C1536" w:rsidP="004C153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0FF5">
                              <w:rPr>
                                <w:b/>
                                <w:sz w:val="18"/>
                                <w:szCs w:val="18"/>
                              </w:rPr>
                              <w:t>LIVINGSTON SUNRISE ROTARY FOUNDATION is a Michigan non-profit charitable foundation.</w:t>
                            </w:r>
                          </w:p>
                          <w:p w14:paraId="2B0C4954" w14:textId="77777777" w:rsidR="004C1536" w:rsidRPr="00800FF5" w:rsidRDefault="002D5884" w:rsidP="004C153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501(c</w:t>
                            </w:r>
                            <w:r w:rsidR="004C1536" w:rsidRPr="00800FF5">
                              <w:rPr>
                                <w:b/>
                                <w:sz w:val="18"/>
                                <w:szCs w:val="18"/>
                              </w:rPr>
                              <w:t>)3 MICHIGAN NON-PROFIT CHARITABLE FOUNDATION, TAX ID # 20-2455281</w:t>
                            </w:r>
                          </w:p>
                          <w:p w14:paraId="1165E6AC" w14:textId="77777777" w:rsidR="004C1536" w:rsidRPr="00800FF5" w:rsidRDefault="004C1536" w:rsidP="004C153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0FF5">
                              <w:rPr>
                                <w:b/>
                                <w:sz w:val="18"/>
                                <w:szCs w:val="18"/>
                              </w:rPr>
                              <w:t>Please consult your tax advisor/accountant to see if this applies to you and/or your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1C416" id="Rounded Rectangle 5" o:spid="_x0000_s1026" style="position:absolute;left:0;text-align:left;margin-left:288.75pt;margin-top:137.15pt;width:274.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" fillcolor="#1f3763 [1608]" strokecolor="#1f4d78 [1604]" strokeweight="1pt">
                <v:stroke joinstyle="miter"/>
                <v:textbox>
                  <w:txbxContent>
                    <w:p w14:paraId="6350BA69" w14:textId="77777777" w:rsidR="004C1536" w:rsidRPr="00800FF5" w:rsidRDefault="004C1536" w:rsidP="004C1536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0FF5">
                        <w:rPr>
                          <w:b/>
                          <w:sz w:val="18"/>
                          <w:szCs w:val="18"/>
                        </w:rPr>
                        <w:t>LIVINGSTON SUNRISE ROTARY FOUNDATION is a Michigan non-profit charitable foundation.</w:t>
                      </w:r>
                    </w:p>
                    <w:p w14:paraId="2B0C4954" w14:textId="77777777" w:rsidR="004C1536" w:rsidRPr="00800FF5" w:rsidRDefault="002D5884" w:rsidP="004C1536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501(c</w:t>
                      </w:r>
                      <w:r w:rsidR="004C1536" w:rsidRPr="00800FF5">
                        <w:rPr>
                          <w:b/>
                          <w:sz w:val="18"/>
                          <w:szCs w:val="18"/>
                        </w:rPr>
                        <w:t>)3 MICHIGAN NON-PROFIT CHARITABLE FOUNDATION, TAX ID # 20-2455281</w:t>
                      </w:r>
                    </w:p>
                    <w:p w14:paraId="1165E6AC" w14:textId="77777777" w:rsidR="004C1536" w:rsidRPr="00800FF5" w:rsidRDefault="004C1536" w:rsidP="004C1536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0FF5">
                        <w:rPr>
                          <w:b/>
                          <w:sz w:val="18"/>
                          <w:szCs w:val="18"/>
                        </w:rPr>
                        <w:t>Please consult your tax advisor/accountant to see if this applies to you and/or your business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658D" w:rsidRPr="00A7658D">
        <w:rPr>
          <w:rFonts w:ascii="Calibri" w:hAnsi="Calibri" w:cs="Calibri"/>
        </w:rPr>
        <w:t xml:space="preserve">RH4Youth has helped over 10,000 young people discover the power within themselves to live </w:t>
      </w:r>
      <w:r w:rsidR="001D1798">
        <w:rPr>
          <w:rFonts w:ascii="Calibri" w:hAnsi="Calibri" w:cs="Calibri"/>
        </w:rPr>
        <w:t xml:space="preserve">their lives to the fullest. The </w:t>
      </w:r>
      <w:r w:rsidR="00A7658D" w:rsidRPr="00A7658D">
        <w:rPr>
          <w:rFonts w:ascii="Calibri" w:hAnsi="Calibri" w:cs="Calibri"/>
        </w:rPr>
        <w:t xml:space="preserve">positive and powerful impact of the program helps to change the culture of each </w:t>
      </w:r>
      <w:r w:rsidR="001D1798">
        <w:rPr>
          <w:rFonts w:ascii="Calibri" w:hAnsi="Calibri" w:cs="Calibri"/>
        </w:rPr>
        <w:t xml:space="preserve">school for the better. Students </w:t>
      </w:r>
      <w:r w:rsidR="00A7658D" w:rsidRPr="00A7658D">
        <w:rPr>
          <w:rFonts w:ascii="Calibri" w:hAnsi="Calibri" w:cs="Calibri"/>
        </w:rPr>
        <w:t xml:space="preserve">completing our program report increased self-confidence, increased motivation, better </w:t>
      </w:r>
      <w:r w:rsidR="001D1798">
        <w:rPr>
          <w:rFonts w:ascii="Calibri" w:hAnsi="Calibri" w:cs="Calibri"/>
        </w:rPr>
        <w:t xml:space="preserve">grades, feeling more connected, </w:t>
      </w:r>
      <w:r w:rsidR="00A7658D" w:rsidRPr="00A7658D">
        <w:rPr>
          <w:rFonts w:ascii="Calibri" w:hAnsi="Calibri" w:cs="Calibri"/>
        </w:rPr>
        <w:t>and overall more agency over their own lives and po</w:t>
      </w:r>
      <w:r w:rsidR="00A7658D" w:rsidRPr="000C5B8E">
        <w:rPr>
          <w:rFonts w:ascii="Calibri" w:hAnsi="Calibri" w:cs="Calibri"/>
        </w:rPr>
        <w:t>sitive expectations for the future.</w:t>
      </w:r>
      <w:r w:rsidR="000C5B8E" w:rsidRPr="000C5B8E">
        <w:rPr>
          <w:rFonts w:ascii="Calibri" w:hAnsi="Calibri" w:cs="Calibri"/>
        </w:rPr>
        <w:t xml:space="preserve"> </w:t>
      </w:r>
      <w:r w:rsidR="000C5B8E" w:rsidRPr="000C5B8E">
        <w:rPr>
          <w:rFonts w:ascii="Calibri" w:hAnsi="Calibri" w:cs="Calibri"/>
        </w:rPr>
        <w:t>We have committed partnerships with 25 schools for the 2021-22 school year with more schools</w:t>
      </w:r>
      <w:r w:rsidR="000C5B8E">
        <w:rPr>
          <w:rFonts w:ascii="Calibri" w:hAnsi="Calibri" w:cs="Calibri"/>
          <w:sz w:val="18"/>
          <w:szCs w:val="18"/>
        </w:rPr>
        <w:t xml:space="preserve"> </w:t>
      </w:r>
      <w:r w:rsidR="000C5B8E" w:rsidRPr="000C5B8E">
        <w:rPr>
          <w:rFonts w:cstheme="minorHAnsi"/>
        </w:rPr>
        <w:t>commit</w:t>
      </w:r>
      <w:r>
        <w:rPr>
          <w:rFonts w:cstheme="minorHAnsi"/>
        </w:rPr>
        <w:t>t</w:t>
      </w:r>
      <w:r w:rsidR="000C5B8E" w:rsidRPr="000C5B8E">
        <w:rPr>
          <w:rFonts w:cstheme="minorHAnsi"/>
        </w:rPr>
        <w:t>ing to programs for 2022-23. Reaching Higher 4 Youth now includes school assemblies, virtual class offerings, a pilot</w:t>
      </w:r>
      <w:r w:rsidR="000C5B8E">
        <w:rPr>
          <w:rFonts w:ascii="Calibri" w:hAnsi="Calibri" w:cs="Calibri"/>
          <w:sz w:val="18"/>
          <w:szCs w:val="18"/>
        </w:rPr>
        <w:t xml:space="preserve"> </w:t>
      </w:r>
      <w:r w:rsidR="000C5B8E" w:rsidRPr="000C5B8E">
        <w:rPr>
          <w:rFonts w:cstheme="minorHAnsi"/>
        </w:rPr>
        <w:t xml:space="preserve">video series, and in-person after school programs at our Leadership Lab in Brighton. </w:t>
      </w:r>
      <w:r w:rsidR="000C5B8E" w:rsidRPr="000C5B8E">
        <w:rPr>
          <w:rFonts w:cstheme="minorHAnsi"/>
          <w:b/>
          <w:bCs/>
        </w:rPr>
        <w:t>This school year alone we will directly</w:t>
      </w:r>
      <w:r w:rsidR="000C5B8E">
        <w:rPr>
          <w:rFonts w:ascii="Calibri" w:hAnsi="Calibri" w:cs="Calibri"/>
          <w:sz w:val="18"/>
          <w:szCs w:val="18"/>
        </w:rPr>
        <w:t xml:space="preserve"> </w:t>
      </w:r>
      <w:r w:rsidR="000C5B8E" w:rsidRPr="000C5B8E">
        <w:rPr>
          <w:rFonts w:cstheme="minorHAnsi"/>
          <w:b/>
          <w:bCs/>
        </w:rPr>
        <w:t>reach over 600 students.</w:t>
      </w:r>
    </w:p>
    <w:p w14:paraId="19251EC4" w14:textId="0AE29C29" w:rsidR="00B738C3" w:rsidRPr="000C5B8E" w:rsidRDefault="00B738C3" w:rsidP="00B73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86ADCBC" w14:textId="04F501D6" w:rsidR="00A7658D" w:rsidRPr="00B738C3" w:rsidRDefault="00B738C3" w:rsidP="00B738C3">
      <w:pPr>
        <w:pStyle w:val="NoSpacing"/>
        <w:ind w:left="27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EC1D686" wp14:editId="25254B37">
            <wp:simplePos x="0" y="0"/>
            <wp:positionH relativeFrom="column">
              <wp:posOffset>-635</wp:posOffset>
            </wp:positionH>
            <wp:positionV relativeFrom="paragraph">
              <wp:posOffset>36830</wp:posOffset>
            </wp:positionV>
            <wp:extent cx="854710" cy="847725"/>
            <wp:effectExtent l="0" t="0" r="254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B8E">
        <w:rPr>
          <w:rFonts w:cstheme="minorHAnsi"/>
          <w:b/>
          <w:bCs/>
        </w:rPr>
        <w:t>Special</w:t>
      </w:r>
      <w:r>
        <w:rPr>
          <w:rFonts w:cstheme="minorHAnsi"/>
          <w:b/>
          <w:bCs/>
        </w:rPr>
        <w:t xml:space="preserve"> Ministries of Livingston Co.</w:t>
      </w:r>
      <w:bookmarkStart w:id="0" w:name="_GoBack"/>
      <w:bookmarkEnd w:id="0"/>
    </w:p>
    <w:p w14:paraId="26A2CF99" w14:textId="02EB21B4" w:rsidR="00A7658D" w:rsidRDefault="00B738C3" w:rsidP="00B738C3">
      <w:pPr>
        <w:pStyle w:val="NoSpacing"/>
        <w:ind w:left="270"/>
        <w:rPr>
          <w:rFonts w:cstheme="minorHAnsi"/>
          <w:sz w:val="18"/>
          <w:szCs w:val="18"/>
        </w:rPr>
      </w:pPr>
      <w:hyperlink r:id="rId13" w:history="1">
        <w:r w:rsidRPr="008120BC">
          <w:rPr>
            <w:rStyle w:val="Hyperlink"/>
            <w:rFonts w:cstheme="minorHAnsi"/>
            <w:sz w:val="18"/>
            <w:szCs w:val="18"/>
          </w:rPr>
          <w:t>www.livingstoncc.org/special-ministries-of-livingston-county/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4F02D601" w14:textId="77777777" w:rsidR="00A7658D" w:rsidRPr="000C5B8E" w:rsidRDefault="00A7658D" w:rsidP="00A7658D">
      <w:pPr>
        <w:pStyle w:val="NoSpacing"/>
        <w:ind w:left="270"/>
        <w:jc w:val="center"/>
        <w:rPr>
          <w:rFonts w:cstheme="minorHAnsi"/>
        </w:rPr>
      </w:pPr>
    </w:p>
    <w:p w14:paraId="062C0DD0" w14:textId="1E808601" w:rsidR="000C5B8E" w:rsidRPr="000C5B8E" w:rsidRDefault="000C5B8E" w:rsidP="000C5B8E">
      <w:pPr>
        <w:pStyle w:val="NoSpacing"/>
        <w:ind w:left="270"/>
        <w:rPr>
          <w:rFonts w:cstheme="minorHAnsi"/>
          <w:b/>
          <w:caps/>
          <w:color w:val="5B9BD5" w:themeColor="accent1"/>
          <w:sz w:val="24"/>
          <w:szCs w:val="24"/>
        </w:rPr>
        <w:sectPr w:rsidR="000C5B8E" w:rsidRPr="000C5B8E" w:rsidSect="000C5B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C5B8E">
        <w:rPr>
          <w:rFonts w:cstheme="minorHAnsi"/>
        </w:rPr>
        <w:t>Special Ministries of Livingston County (SMLC) is a program of Livingston County Catholic Charities (LCCC), serving adults, 18 – 80+ years, with disabilities and building a community around them so that they feel included, loved, protected and a member of the community they live in.  SMLC provides participants with the opportunity to participate in an array of programs and activities in a nurturing, non-judgmental environment while decreasing barriers to engage in their community.  Services are designed to</w:t>
      </w:r>
      <w:r w:rsidRPr="000C5B8E">
        <w:rPr>
          <w:rFonts w:eastAsia="Times New Roman" w:cstheme="minorHAnsi"/>
        </w:rPr>
        <w:t xml:space="preserve"> empower and support each participant's access, use, and participation in the community which is crucial in order to </w:t>
      </w:r>
      <w:r w:rsidRPr="000C5B8E">
        <w:rPr>
          <w:rFonts w:cstheme="minorHAnsi"/>
        </w:rPr>
        <w:t>promote activity, exploration &amp; skill development,</w:t>
      </w:r>
      <w:r w:rsidRPr="000C5B8E">
        <w:rPr>
          <w:rFonts w:eastAsia="Times New Roman" w:cstheme="minorHAnsi"/>
        </w:rPr>
        <w:t xml:space="preserve"> develop social connections, experience self-fulfillment and become more independent. We achieve this by providing an array of activities and programming based on each person’s abilities and interests. </w:t>
      </w:r>
      <w:r w:rsidRPr="000C5B8E">
        <w:rPr>
          <w:rFonts w:cstheme="minorHAnsi"/>
        </w:rPr>
        <w:t>Program staff members organize indoor, outdoor and virtual activities based on participant interests, strengths and abilities.  Examples of activities include adaptive archery; bowling; horseback riding; outings to local farm league baseball games, parks, farm centers, beaches; outdoor photography adventures; bible study, game nights, music in the park, softball and more</w:t>
      </w:r>
      <w:r w:rsidR="00B738C3">
        <w:rPr>
          <w:rFonts w:cstheme="minorHAnsi"/>
        </w:rPr>
        <w:t>.</w:t>
      </w:r>
    </w:p>
    <w:p w14:paraId="6471C6A3" w14:textId="2421D049" w:rsidR="000E4AA4" w:rsidRDefault="000E4AA4" w:rsidP="00B738C3">
      <w:pPr>
        <w:pStyle w:val="NoSpacing"/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  <w:sectPr w:rsidR="000E4AA4" w:rsidSect="000C5B8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E5F762" w14:textId="7891C2AF" w:rsidR="000E4AA4" w:rsidRDefault="000E4AA4" w:rsidP="00A252F8">
      <w:pPr>
        <w:pStyle w:val="NoSpacing"/>
        <w:sectPr w:rsidR="000E4AA4" w:rsidSect="000E4A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32F0E4" w14:textId="3BD44EA0" w:rsidR="00966393" w:rsidRDefault="00966393" w:rsidP="00A252F8">
      <w:pPr>
        <w:pStyle w:val="NoSpacing"/>
      </w:pPr>
    </w:p>
    <w:sectPr w:rsidR="00966393" w:rsidSect="000E4A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1890A" w14:textId="77777777" w:rsidR="00843802" w:rsidRDefault="00843802" w:rsidP="00401E3E">
      <w:pPr>
        <w:spacing w:after="0" w:line="240" w:lineRule="auto"/>
      </w:pPr>
      <w:r>
        <w:separator/>
      </w:r>
    </w:p>
  </w:endnote>
  <w:endnote w:type="continuationSeparator" w:id="0">
    <w:p w14:paraId="73E9AF6A" w14:textId="77777777" w:rsidR="00843802" w:rsidRDefault="00843802" w:rsidP="0040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5C66" w14:textId="77777777" w:rsidR="00843802" w:rsidRDefault="00843802" w:rsidP="00401E3E">
      <w:pPr>
        <w:spacing w:after="0" w:line="240" w:lineRule="auto"/>
      </w:pPr>
      <w:r>
        <w:separator/>
      </w:r>
    </w:p>
  </w:footnote>
  <w:footnote w:type="continuationSeparator" w:id="0">
    <w:p w14:paraId="7D1B6923" w14:textId="77777777" w:rsidR="00843802" w:rsidRDefault="00843802" w:rsidP="0040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116"/>
    <w:multiLevelType w:val="hybridMultilevel"/>
    <w:tmpl w:val="A3C40BB0"/>
    <w:lvl w:ilvl="0" w:tplc="F0C2F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357B"/>
    <w:multiLevelType w:val="hybridMultilevel"/>
    <w:tmpl w:val="C80AB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711"/>
    <w:multiLevelType w:val="hybridMultilevel"/>
    <w:tmpl w:val="F536BDB2"/>
    <w:lvl w:ilvl="0" w:tplc="F0C2F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4C33"/>
    <w:multiLevelType w:val="hybridMultilevel"/>
    <w:tmpl w:val="5290F2DE"/>
    <w:lvl w:ilvl="0" w:tplc="0C6A8C8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49C"/>
    <w:multiLevelType w:val="hybridMultilevel"/>
    <w:tmpl w:val="261EC89E"/>
    <w:lvl w:ilvl="0" w:tplc="481E2AC4">
      <w:numFmt w:val="bullet"/>
      <w:lvlText w:val="–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2F276DC"/>
    <w:multiLevelType w:val="hybridMultilevel"/>
    <w:tmpl w:val="5B369D5E"/>
    <w:lvl w:ilvl="0" w:tplc="481E2AC4">
      <w:numFmt w:val="bullet"/>
      <w:lvlText w:val="–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2AE3"/>
    <w:multiLevelType w:val="hybridMultilevel"/>
    <w:tmpl w:val="2778A22E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F733E1D"/>
    <w:multiLevelType w:val="hybridMultilevel"/>
    <w:tmpl w:val="52A84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D6F8E"/>
    <w:multiLevelType w:val="hybridMultilevel"/>
    <w:tmpl w:val="E43EA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22C2A"/>
    <w:multiLevelType w:val="hybridMultilevel"/>
    <w:tmpl w:val="F6CE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B4C0A"/>
    <w:multiLevelType w:val="hybridMultilevel"/>
    <w:tmpl w:val="DEE44DA4"/>
    <w:lvl w:ilvl="0" w:tplc="481E2AC4">
      <w:numFmt w:val="bullet"/>
      <w:lvlText w:val="–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bA0MzU3NjQ0NTVU0lEKTi0uzszPAykwrAUA21zSNCwAAAA="/>
  </w:docVars>
  <w:rsids>
    <w:rsidRoot w:val="002315CB"/>
    <w:rsid w:val="0000463D"/>
    <w:rsid w:val="00034A00"/>
    <w:rsid w:val="000700F6"/>
    <w:rsid w:val="000745EB"/>
    <w:rsid w:val="00083E3C"/>
    <w:rsid w:val="000B0F45"/>
    <w:rsid w:val="000B4555"/>
    <w:rsid w:val="000C5B8E"/>
    <w:rsid w:val="000D15FC"/>
    <w:rsid w:val="000E4AA4"/>
    <w:rsid w:val="001018A1"/>
    <w:rsid w:val="00111ED4"/>
    <w:rsid w:val="001140A7"/>
    <w:rsid w:val="00116AAE"/>
    <w:rsid w:val="00123378"/>
    <w:rsid w:val="00127638"/>
    <w:rsid w:val="001466E9"/>
    <w:rsid w:val="00163E76"/>
    <w:rsid w:val="001C3282"/>
    <w:rsid w:val="001D1798"/>
    <w:rsid w:val="00203812"/>
    <w:rsid w:val="00207C1F"/>
    <w:rsid w:val="00212AFE"/>
    <w:rsid w:val="002263E6"/>
    <w:rsid w:val="002312D2"/>
    <w:rsid w:val="002315CB"/>
    <w:rsid w:val="00244761"/>
    <w:rsid w:val="002665E5"/>
    <w:rsid w:val="002705F4"/>
    <w:rsid w:val="002B4675"/>
    <w:rsid w:val="002B556E"/>
    <w:rsid w:val="002D5884"/>
    <w:rsid w:val="002D6083"/>
    <w:rsid w:val="00300CF3"/>
    <w:rsid w:val="003225B2"/>
    <w:rsid w:val="0032724E"/>
    <w:rsid w:val="00382051"/>
    <w:rsid w:val="00382BAB"/>
    <w:rsid w:val="00384FD4"/>
    <w:rsid w:val="00401E3E"/>
    <w:rsid w:val="00403532"/>
    <w:rsid w:val="00440E7E"/>
    <w:rsid w:val="00471D1C"/>
    <w:rsid w:val="00481D31"/>
    <w:rsid w:val="004A5D7D"/>
    <w:rsid w:val="004C1536"/>
    <w:rsid w:val="004C1E14"/>
    <w:rsid w:val="004C55BA"/>
    <w:rsid w:val="004C67FA"/>
    <w:rsid w:val="004D272F"/>
    <w:rsid w:val="004D6356"/>
    <w:rsid w:val="004F0DB5"/>
    <w:rsid w:val="00505E77"/>
    <w:rsid w:val="00516975"/>
    <w:rsid w:val="00527529"/>
    <w:rsid w:val="00563991"/>
    <w:rsid w:val="005644A5"/>
    <w:rsid w:val="005A7D83"/>
    <w:rsid w:val="005C6543"/>
    <w:rsid w:val="005D3E71"/>
    <w:rsid w:val="005D3FB5"/>
    <w:rsid w:val="005D511E"/>
    <w:rsid w:val="00630D36"/>
    <w:rsid w:val="006B514B"/>
    <w:rsid w:val="006C2D85"/>
    <w:rsid w:val="00716DAB"/>
    <w:rsid w:val="00717A07"/>
    <w:rsid w:val="007252C8"/>
    <w:rsid w:val="00737481"/>
    <w:rsid w:val="00746614"/>
    <w:rsid w:val="007537A1"/>
    <w:rsid w:val="00756BD1"/>
    <w:rsid w:val="007663C0"/>
    <w:rsid w:val="007828A3"/>
    <w:rsid w:val="007C43A4"/>
    <w:rsid w:val="00800FF5"/>
    <w:rsid w:val="00825119"/>
    <w:rsid w:val="00837DF5"/>
    <w:rsid w:val="00843802"/>
    <w:rsid w:val="00883BF0"/>
    <w:rsid w:val="008844C7"/>
    <w:rsid w:val="008A09CD"/>
    <w:rsid w:val="008C65B0"/>
    <w:rsid w:val="00910020"/>
    <w:rsid w:val="0091417E"/>
    <w:rsid w:val="00915AE6"/>
    <w:rsid w:val="009167E7"/>
    <w:rsid w:val="00966393"/>
    <w:rsid w:val="00973EF9"/>
    <w:rsid w:val="00980C60"/>
    <w:rsid w:val="00992C31"/>
    <w:rsid w:val="00A02ED0"/>
    <w:rsid w:val="00A16D43"/>
    <w:rsid w:val="00A252F8"/>
    <w:rsid w:val="00A27E98"/>
    <w:rsid w:val="00A40933"/>
    <w:rsid w:val="00A47A2D"/>
    <w:rsid w:val="00A73E46"/>
    <w:rsid w:val="00A75AE5"/>
    <w:rsid w:val="00A7658D"/>
    <w:rsid w:val="00A871F8"/>
    <w:rsid w:val="00AA529B"/>
    <w:rsid w:val="00AB667A"/>
    <w:rsid w:val="00B21106"/>
    <w:rsid w:val="00B27F55"/>
    <w:rsid w:val="00B738C3"/>
    <w:rsid w:val="00B85032"/>
    <w:rsid w:val="00BB1EB1"/>
    <w:rsid w:val="00BD1DCA"/>
    <w:rsid w:val="00BE26F4"/>
    <w:rsid w:val="00BE7D3F"/>
    <w:rsid w:val="00BF7EDD"/>
    <w:rsid w:val="00C415BB"/>
    <w:rsid w:val="00C54508"/>
    <w:rsid w:val="00C91460"/>
    <w:rsid w:val="00C95651"/>
    <w:rsid w:val="00CC408D"/>
    <w:rsid w:val="00D02318"/>
    <w:rsid w:val="00D12869"/>
    <w:rsid w:val="00D907C3"/>
    <w:rsid w:val="00DB549E"/>
    <w:rsid w:val="00DF5519"/>
    <w:rsid w:val="00E35C33"/>
    <w:rsid w:val="00E82065"/>
    <w:rsid w:val="00EB7703"/>
    <w:rsid w:val="00EE3893"/>
    <w:rsid w:val="00EE5C86"/>
    <w:rsid w:val="00F21FAE"/>
    <w:rsid w:val="00F24EFE"/>
    <w:rsid w:val="00F34122"/>
    <w:rsid w:val="00F549AA"/>
    <w:rsid w:val="00F866D3"/>
    <w:rsid w:val="00F9488C"/>
    <w:rsid w:val="00FA05FD"/>
    <w:rsid w:val="00FC4A64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456AB"/>
  <w15:chartTrackingRefBased/>
  <w15:docId w15:val="{9023A15E-FD84-44CA-8487-44FA182B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3E"/>
  </w:style>
  <w:style w:type="paragraph" w:styleId="Footer">
    <w:name w:val="footer"/>
    <w:basedOn w:val="Normal"/>
    <w:link w:val="FooterChar"/>
    <w:uiPriority w:val="99"/>
    <w:unhideWhenUsed/>
    <w:rsid w:val="0040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3E"/>
  </w:style>
  <w:style w:type="paragraph" w:styleId="ListParagraph">
    <w:name w:val="List Paragraph"/>
    <w:basedOn w:val="Normal"/>
    <w:uiPriority w:val="34"/>
    <w:qFormat/>
    <w:rsid w:val="00401E3E"/>
    <w:pPr>
      <w:ind w:left="720"/>
      <w:contextualSpacing/>
    </w:pPr>
  </w:style>
  <w:style w:type="paragraph" w:styleId="NoSpacing">
    <w:name w:val="No Spacing"/>
    <w:uiPriority w:val="1"/>
    <w:qFormat/>
    <w:rsid w:val="00382051"/>
    <w:pPr>
      <w:spacing w:after="0" w:line="240" w:lineRule="auto"/>
    </w:pPr>
  </w:style>
  <w:style w:type="paragraph" w:customStyle="1" w:styleId="Default">
    <w:name w:val="Default"/>
    <w:rsid w:val="004D63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vingstoncc.org/special-ministries-of-livingston-coun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chinghigherinc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Ochodnicky</dc:creator>
  <cp:keywords/>
  <dc:description/>
  <cp:lastModifiedBy>Anne Rennie</cp:lastModifiedBy>
  <cp:revision>4</cp:revision>
  <cp:lastPrinted>2019-10-28T14:46:00Z</cp:lastPrinted>
  <dcterms:created xsi:type="dcterms:W3CDTF">2021-12-13T17:19:00Z</dcterms:created>
  <dcterms:modified xsi:type="dcterms:W3CDTF">2021-12-13T19:26:00Z</dcterms:modified>
</cp:coreProperties>
</file>