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Parchment" color2="#fffcf3" type="tile"/>
    </v:background>
  </w:background>
  <w:body>
    <w:p w:rsidR="001F30D4" w:rsidRDefault="008861DB" w:rsidP="001F30D4">
      <w:pPr>
        <w:spacing w:after="0" w:line="240" w:lineRule="auto"/>
        <w:jc w:val="center"/>
      </w:pPr>
      <w:r>
        <w:rPr>
          <w:noProof/>
        </w:rPr>
        <w:drawing>
          <wp:inline distT="0" distB="0" distL="0" distR="0" wp14:anchorId="78265509" wp14:editId="4BF5DC68">
            <wp:extent cx="1775460" cy="1327927"/>
            <wp:effectExtent l="57150" t="57150" r="53340" b="438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1784379" cy="1334598"/>
                    </a:xfrm>
                    <a:prstGeom prst="rect">
                      <a:avLst/>
                    </a:prstGeom>
                    <a:effectLst>
                      <a:outerShdw blurRad="50800" dist="50800" dir="5400000" algn="ctr" rotWithShape="0">
                        <a:srgbClr val="000000">
                          <a:alpha val="0"/>
                        </a:srgbClr>
                      </a:outerShdw>
                      <a:reflection stA="0" endPos="65000" dist="50800" dir="5400000" sy="-100000" algn="bl" rotWithShape="0"/>
                      <a:softEdge rad="63500"/>
                    </a:effectLst>
                    <a:scene3d>
                      <a:camera prst="orthographicFront"/>
                      <a:lightRig rig="threePt" dir="t"/>
                    </a:scene3d>
                    <a:sp3d>
                      <a:bevelT w="292100"/>
                      <a:bevelB h="0"/>
                    </a:sp3d>
                  </pic:spPr>
                </pic:pic>
              </a:graphicData>
            </a:graphic>
          </wp:inline>
        </w:drawing>
      </w:r>
      <w:r w:rsidR="00E56C0B">
        <w:rPr>
          <w:noProof/>
        </w:rPr>
        <w:drawing>
          <wp:anchor distT="0" distB="0" distL="114300" distR="114300" simplePos="0" relativeHeight="251658240" behindDoc="1" locked="0" layoutInCell="1" allowOverlap="1">
            <wp:simplePos x="0" y="0"/>
            <wp:positionH relativeFrom="page">
              <wp:posOffset>944880</wp:posOffset>
            </wp:positionH>
            <wp:positionV relativeFrom="page">
              <wp:posOffset>1234440</wp:posOffset>
            </wp:positionV>
            <wp:extent cx="1215985" cy="1094105"/>
            <wp:effectExtent l="0" t="0" r="381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referRelativeResize="0">
                      <a:picLocks noChangeAspect="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15985" cy="1094105"/>
                    </a:xfrm>
                    <a:prstGeom prst="rect">
                      <a:avLst/>
                    </a:prstGeom>
                  </pic:spPr>
                </pic:pic>
              </a:graphicData>
            </a:graphic>
            <wp14:sizeRelH relativeFrom="margin">
              <wp14:pctWidth>0</wp14:pctWidth>
            </wp14:sizeRelH>
            <wp14:sizeRelV relativeFrom="margin">
              <wp14:pctHeight>0</wp14:pctHeight>
            </wp14:sizeRelV>
          </wp:anchor>
        </w:drawing>
      </w:r>
    </w:p>
    <w:p w:rsidR="00C36726" w:rsidRDefault="00C36726" w:rsidP="001F30D4">
      <w:pPr>
        <w:spacing w:after="0" w:line="240" w:lineRule="auto"/>
        <w:jc w:val="center"/>
      </w:pPr>
    </w:p>
    <w:p w:rsidR="001F30D4" w:rsidRDefault="001F30D4" w:rsidP="001F30D4">
      <w:pPr>
        <w:spacing w:after="0" w:line="240" w:lineRule="auto"/>
        <w:jc w:val="center"/>
        <w:rPr>
          <w:rFonts w:ascii="Times New Roman" w:hAnsi="Times New Roman" w:cs="Times New Roman"/>
          <w:b/>
          <w:color w:val="31479E" w:themeColor="accent1" w:themeShade="BF"/>
          <w:sz w:val="44"/>
        </w:rPr>
      </w:pPr>
      <w:r w:rsidRPr="001F30D4">
        <w:rPr>
          <w:rFonts w:ascii="Times New Roman" w:hAnsi="Times New Roman" w:cs="Times New Roman"/>
          <w:b/>
          <w:color w:val="31479E" w:themeColor="accent1" w:themeShade="BF"/>
          <w:sz w:val="44"/>
        </w:rPr>
        <w:t>53</w:t>
      </w:r>
      <w:r w:rsidRPr="001F30D4">
        <w:rPr>
          <w:rFonts w:ascii="Times New Roman" w:hAnsi="Times New Roman" w:cs="Times New Roman"/>
          <w:b/>
          <w:color w:val="31479E" w:themeColor="accent1" w:themeShade="BF"/>
          <w:sz w:val="44"/>
          <w:vertAlign w:val="superscript"/>
        </w:rPr>
        <w:t>rd</w:t>
      </w:r>
      <w:r w:rsidRPr="001F30D4">
        <w:rPr>
          <w:rFonts w:ascii="Times New Roman" w:hAnsi="Times New Roman" w:cs="Times New Roman"/>
          <w:b/>
          <w:color w:val="31479E" w:themeColor="accent1" w:themeShade="BF"/>
          <w:sz w:val="44"/>
        </w:rPr>
        <w:t xml:space="preserve"> Judicial District Court</w:t>
      </w:r>
    </w:p>
    <w:p w:rsidR="001F30D4" w:rsidRPr="00E56C0B" w:rsidRDefault="009F6D1A" w:rsidP="001F30D4">
      <w:pPr>
        <w:spacing w:after="0" w:line="240" w:lineRule="auto"/>
        <w:jc w:val="center"/>
        <w:rPr>
          <w:rFonts w:ascii="Times New Roman" w:hAnsi="Times New Roman" w:cs="Times New Roman"/>
          <w:b/>
          <w:color w:val="31479E" w:themeColor="accent1" w:themeShade="BF"/>
        </w:rPr>
      </w:pPr>
      <w:r w:rsidRPr="00E56C0B">
        <w:rPr>
          <w:rFonts w:ascii="Times New Roman" w:hAnsi="Times New Roman" w:cs="Times New Roman"/>
          <w:b/>
          <w:color w:val="31479E" w:themeColor="accent1" w:themeShade="BF"/>
        </w:rPr>
        <w:t>204</w:t>
      </w:r>
      <w:r w:rsidR="001F30D4" w:rsidRPr="00E56C0B">
        <w:rPr>
          <w:rFonts w:ascii="Times New Roman" w:hAnsi="Times New Roman" w:cs="Times New Roman"/>
          <w:b/>
          <w:color w:val="31479E" w:themeColor="accent1" w:themeShade="BF"/>
        </w:rPr>
        <w:t xml:space="preserve"> S. Highlander Way</w:t>
      </w:r>
    </w:p>
    <w:p w:rsidR="001F30D4" w:rsidRPr="00E56C0B" w:rsidRDefault="001F30D4" w:rsidP="001F30D4">
      <w:pPr>
        <w:spacing w:after="0" w:line="240" w:lineRule="auto"/>
        <w:jc w:val="center"/>
        <w:rPr>
          <w:rFonts w:ascii="Times New Roman" w:hAnsi="Times New Roman" w:cs="Times New Roman"/>
          <w:b/>
          <w:color w:val="31479E" w:themeColor="accent1" w:themeShade="BF"/>
        </w:rPr>
      </w:pPr>
      <w:r w:rsidRPr="00E56C0B">
        <w:rPr>
          <w:rFonts w:ascii="Times New Roman" w:hAnsi="Times New Roman" w:cs="Times New Roman"/>
          <w:b/>
          <w:color w:val="31479E" w:themeColor="accent1" w:themeShade="BF"/>
        </w:rPr>
        <w:t xml:space="preserve">Howell, MI  </w:t>
      </w:r>
      <w:r w:rsidR="009F6D1A" w:rsidRPr="00E56C0B">
        <w:rPr>
          <w:rFonts w:ascii="Times New Roman" w:hAnsi="Times New Roman" w:cs="Times New Roman"/>
          <w:b/>
          <w:color w:val="31479E" w:themeColor="accent1" w:themeShade="BF"/>
        </w:rPr>
        <w:t>48843</w:t>
      </w:r>
    </w:p>
    <w:p w:rsidR="001F30D4" w:rsidRPr="00E56C0B" w:rsidRDefault="001F30D4" w:rsidP="001F30D4">
      <w:pPr>
        <w:spacing w:after="0" w:line="240" w:lineRule="auto"/>
        <w:jc w:val="center"/>
        <w:rPr>
          <w:rFonts w:ascii="Times New Roman" w:hAnsi="Times New Roman" w:cs="Times New Roman"/>
          <w:b/>
          <w:color w:val="31479E" w:themeColor="accent1" w:themeShade="BF"/>
        </w:rPr>
      </w:pPr>
      <w:r w:rsidRPr="00E56C0B">
        <w:rPr>
          <w:rFonts w:ascii="Times New Roman" w:hAnsi="Times New Roman" w:cs="Times New Roman"/>
          <w:b/>
          <w:color w:val="31479E" w:themeColor="accent1" w:themeShade="BF"/>
        </w:rPr>
        <w:t>517-548-1000</w:t>
      </w:r>
    </w:p>
    <w:p w:rsidR="001F30D4" w:rsidRPr="00E56C0B" w:rsidRDefault="006150F6" w:rsidP="001F30D4">
      <w:pPr>
        <w:spacing w:after="0" w:line="240" w:lineRule="auto"/>
        <w:jc w:val="center"/>
      </w:pPr>
      <w:hyperlink r:id="rId12" w:history="1">
        <w:r w:rsidR="001F30D4" w:rsidRPr="00E56C0B">
          <w:rPr>
            <w:rStyle w:val="Hyperlink"/>
          </w:rPr>
          <w:t>https://www.livgov.com</w:t>
        </w:r>
      </w:hyperlink>
    </w:p>
    <w:p w:rsidR="001F30D4" w:rsidRPr="00E56C0B" w:rsidRDefault="001F30D4" w:rsidP="001F30D4">
      <w:pPr>
        <w:spacing w:after="0" w:line="240" w:lineRule="auto"/>
        <w:jc w:val="center"/>
      </w:pPr>
    </w:p>
    <w:p w:rsidR="001F30D4" w:rsidRPr="00E56C0B" w:rsidRDefault="001F30D4" w:rsidP="001F30D4">
      <w:pPr>
        <w:jc w:val="center"/>
        <w:rPr>
          <w:b/>
          <w:color w:val="31479E" w:themeColor="accent1" w:themeShade="BF"/>
          <w:sz w:val="28"/>
        </w:rPr>
      </w:pPr>
      <w:r w:rsidRPr="00E56C0B">
        <w:rPr>
          <w:b/>
          <w:color w:val="31479E" w:themeColor="accent1" w:themeShade="BF"/>
          <w:sz w:val="28"/>
        </w:rPr>
        <w:t>Warrant Amnesty Event</w:t>
      </w:r>
    </w:p>
    <w:p w:rsidR="001F30D4" w:rsidRPr="001F30D4" w:rsidRDefault="001F30D4" w:rsidP="001F30D4">
      <w:pPr>
        <w:rPr>
          <w:sz w:val="24"/>
        </w:rPr>
      </w:pPr>
      <w:r w:rsidRPr="001F30D4">
        <w:rPr>
          <w:sz w:val="24"/>
        </w:rPr>
        <w:t>The 53</w:t>
      </w:r>
      <w:r w:rsidRPr="001F30D4">
        <w:rPr>
          <w:sz w:val="24"/>
          <w:vertAlign w:val="superscript"/>
        </w:rPr>
        <w:t>rd</w:t>
      </w:r>
      <w:r w:rsidR="003E3A13">
        <w:rPr>
          <w:sz w:val="24"/>
        </w:rPr>
        <w:t xml:space="preserve"> District Court announces an</w:t>
      </w:r>
      <w:r w:rsidRPr="001F30D4">
        <w:rPr>
          <w:sz w:val="24"/>
        </w:rPr>
        <w:t xml:space="preserve"> amnesty program for individual’s delinquent on payments to the court. The amnesty program is a one-time program designed to enhance collections and minimize costs to the county. The program offers waivers of the late fees to individuals upon payments of fines and costs in full, for a one-day period only.</w:t>
      </w:r>
    </w:p>
    <w:p w:rsidR="001F30D4" w:rsidRPr="001F30D4" w:rsidRDefault="001F30D4" w:rsidP="00DD5ECF">
      <w:pPr>
        <w:jc w:val="center"/>
        <w:rPr>
          <w:b/>
          <w:bCs/>
          <w:color w:val="31479E" w:themeColor="accent1" w:themeShade="BF"/>
          <w:sz w:val="24"/>
        </w:rPr>
      </w:pPr>
      <w:r w:rsidRPr="001F30D4">
        <w:rPr>
          <w:b/>
          <w:bCs/>
          <w:color w:val="31479E" w:themeColor="accent1" w:themeShade="BF"/>
          <w:sz w:val="24"/>
        </w:rPr>
        <w:t>Date:</w:t>
      </w:r>
      <w:r w:rsidR="003E3A13">
        <w:rPr>
          <w:b/>
          <w:bCs/>
          <w:color w:val="31479E" w:themeColor="accent1" w:themeShade="BF"/>
          <w:sz w:val="24"/>
        </w:rPr>
        <w:t xml:space="preserve">  Thursday, May </w:t>
      </w:r>
      <w:r w:rsidR="005E3EFD">
        <w:rPr>
          <w:b/>
          <w:bCs/>
          <w:color w:val="31479E" w:themeColor="accent1" w:themeShade="BF"/>
          <w:sz w:val="24"/>
        </w:rPr>
        <w:t>24th</w:t>
      </w:r>
      <w:r w:rsidR="003E3A13">
        <w:rPr>
          <w:b/>
          <w:bCs/>
          <w:color w:val="31479E" w:themeColor="accent1" w:themeShade="BF"/>
          <w:sz w:val="24"/>
        </w:rPr>
        <w:t>, 2018</w:t>
      </w:r>
    </w:p>
    <w:p w:rsidR="001F30D4" w:rsidRPr="001F30D4" w:rsidRDefault="003E3A13" w:rsidP="00DD5ECF">
      <w:pPr>
        <w:jc w:val="center"/>
        <w:rPr>
          <w:b/>
          <w:bCs/>
          <w:color w:val="31479E" w:themeColor="accent1" w:themeShade="BF"/>
          <w:sz w:val="24"/>
        </w:rPr>
      </w:pPr>
      <w:r>
        <w:rPr>
          <w:b/>
          <w:bCs/>
          <w:color w:val="31479E" w:themeColor="accent1" w:themeShade="BF"/>
          <w:sz w:val="24"/>
        </w:rPr>
        <w:t>Time: 8:00 AM to 4:00</w:t>
      </w:r>
      <w:r w:rsidR="001F30D4" w:rsidRPr="001F30D4">
        <w:rPr>
          <w:b/>
          <w:bCs/>
          <w:color w:val="31479E" w:themeColor="accent1" w:themeShade="BF"/>
          <w:sz w:val="24"/>
        </w:rPr>
        <w:t xml:space="preserve"> PM</w:t>
      </w:r>
    </w:p>
    <w:p w:rsidR="001F30D4" w:rsidRPr="001F30D4" w:rsidRDefault="001F30D4" w:rsidP="001F30D4">
      <w:pPr>
        <w:numPr>
          <w:ilvl w:val="0"/>
          <w:numId w:val="1"/>
        </w:numPr>
        <w:rPr>
          <w:sz w:val="24"/>
        </w:rPr>
      </w:pPr>
      <w:r w:rsidRPr="001F30D4">
        <w:rPr>
          <w:sz w:val="24"/>
        </w:rPr>
        <w:t>All misdemeanor cases and civil infraction cases in which a late fee</w:t>
      </w:r>
      <w:r w:rsidR="00A8732A">
        <w:rPr>
          <w:sz w:val="24"/>
        </w:rPr>
        <w:t xml:space="preserve"> </w:t>
      </w:r>
      <w:r w:rsidRPr="001F30D4">
        <w:rPr>
          <w:sz w:val="24"/>
        </w:rPr>
        <w:t>and</w:t>
      </w:r>
      <w:r w:rsidR="00A8732A">
        <w:rPr>
          <w:sz w:val="24"/>
        </w:rPr>
        <w:t>/</w:t>
      </w:r>
      <w:r w:rsidRPr="001F30D4">
        <w:rPr>
          <w:sz w:val="24"/>
        </w:rPr>
        <w:t>or cost to compel appearance fee have been assessed are eligible on this date.</w:t>
      </w:r>
    </w:p>
    <w:p w:rsidR="001F30D4" w:rsidRPr="001F30D4" w:rsidRDefault="001F30D4" w:rsidP="001F30D4">
      <w:pPr>
        <w:numPr>
          <w:ilvl w:val="0"/>
          <w:numId w:val="1"/>
        </w:numPr>
        <w:rPr>
          <w:sz w:val="24"/>
        </w:rPr>
      </w:pPr>
      <w:r w:rsidRPr="001F30D4">
        <w:rPr>
          <w:sz w:val="24"/>
        </w:rPr>
        <w:t>Amnesty will only apply to individuals who appear in person at the 53</w:t>
      </w:r>
      <w:r w:rsidRPr="001F30D4">
        <w:rPr>
          <w:sz w:val="24"/>
          <w:vertAlign w:val="superscript"/>
        </w:rPr>
        <w:t>rd</w:t>
      </w:r>
      <w:r w:rsidRPr="001F30D4">
        <w:rPr>
          <w:sz w:val="24"/>
        </w:rPr>
        <w:t xml:space="preserve"> District Court: 204 S. Highlander Way, Howell, MI 48843 during the specified time.</w:t>
      </w:r>
    </w:p>
    <w:p w:rsidR="001F30D4" w:rsidRPr="001F30D4" w:rsidRDefault="001F30D4" w:rsidP="001F30D4">
      <w:pPr>
        <w:numPr>
          <w:ilvl w:val="0"/>
          <w:numId w:val="1"/>
        </w:numPr>
        <w:rPr>
          <w:sz w:val="24"/>
        </w:rPr>
      </w:pPr>
      <w:bookmarkStart w:id="0" w:name="_GoBack"/>
      <w:r w:rsidRPr="001F30D4">
        <w:rPr>
          <w:sz w:val="24"/>
        </w:rPr>
        <w:t>Provided that the individual does not have another valid warrant for his or her arrest, and the individual appears at the 53</w:t>
      </w:r>
      <w:r w:rsidRPr="001F30D4">
        <w:rPr>
          <w:sz w:val="24"/>
          <w:vertAlign w:val="superscript"/>
        </w:rPr>
        <w:t>rd</w:t>
      </w:r>
      <w:r w:rsidRPr="001F30D4">
        <w:rPr>
          <w:sz w:val="24"/>
        </w:rPr>
        <w:t xml:space="preserve"> District Court during the amnesty period, the individual will not be arrested and jailed on a warrant for failure to pay fines and costs issued by the 53</w:t>
      </w:r>
      <w:r w:rsidRPr="001F30D4">
        <w:rPr>
          <w:sz w:val="24"/>
          <w:vertAlign w:val="superscript"/>
        </w:rPr>
        <w:t>rd</w:t>
      </w:r>
      <w:r w:rsidRPr="001F30D4">
        <w:rPr>
          <w:sz w:val="24"/>
        </w:rPr>
        <w:t xml:space="preserve"> District Court. Upon their appearance, the warrant will be cancelled</w:t>
      </w:r>
      <w:bookmarkEnd w:id="0"/>
      <w:r w:rsidRPr="001F30D4">
        <w:rPr>
          <w:sz w:val="24"/>
        </w:rPr>
        <w:t>.</w:t>
      </w:r>
    </w:p>
    <w:p w:rsidR="001F30D4" w:rsidRPr="001F30D4" w:rsidRDefault="001F30D4" w:rsidP="001F30D4">
      <w:pPr>
        <w:numPr>
          <w:ilvl w:val="0"/>
          <w:numId w:val="1"/>
        </w:numPr>
        <w:rPr>
          <w:sz w:val="24"/>
        </w:rPr>
      </w:pPr>
      <w:r w:rsidRPr="001F30D4">
        <w:rPr>
          <w:sz w:val="24"/>
        </w:rPr>
        <w:t>This announcement does not preclude an individual’s arrest on a valid warrant prior to his/her appearance at court.</w:t>
      </w:r>
    </w:p>
    <w:p w:rsidR="001F30D4" w:rsidRPr="001F30D4" w:rsidRDefault="001F30D4" w:rsidP="001F30D4">
      <w:pPr>
        <w:numPr>
          <w:ilvl w:val="0"/>
          <w:numId w:val="1"/>
        </w:numPr>
        <w:rPr>
          <w:sz w:val="24"/>
        </w:rPr>
      </w:pPr>
      <w:r w:rsidRPr="001F30D4">
        <w:rPr>
          <w:sz w:val="24"/>
        </w:rPr>
        <w:t>During the amnesty period, all late fees and costs to compel appearance fees will be waived upon payment in full.</w:t>
      </w:r>
      <w:r w:rsidR="005E3EFD">
        <w:rPr>
          <w:sz w:val="24"/>
        </w:rPr>
        <w:t xml:space="preserve"> </w:t>
      </w:r>
      <w:r w:rsidR="005E3EFD" w:rsidRPr="00FF0FB4">
        <w:rPr>
          <w:b/>
          <w:i/>
          <w:sz w:val="24"/>
        </w:rPr>
        <w:t>**There is no negotiation for restitution owed</w:t>
      </w:r>
      <w:r w:rsidR="005E3EFD">
        <w:rPr>
          <w:sz w:val="24"/>
        </w:rPr>
        <w:t>.</w:t>
      </w:r>
    </w:p>
    <w:p w:rsidR="001F30D4" w:rsidRPr="001F30D4" w:rsidRDefault="001F30D4" w:rsidP="001F30D4">
      <w:pPr>
        <w:numPr>
          <w:ilvl w:val="0"/>
          <w:numId w:val="1"/>
        </w:numPr>
        <w:rPr>
          <w:sz w:val="24"/>
        </w:rPr>
      </w:pPr>
      <w:r w:rsidRPr="001F30D4">
        <w:rPr>
          <w:sz w:val="24"/>
        </w:rPr>
        <w:t>Payment may be made in full by cash, certified check, or debit/credit card.</w:t>
      </w:r>
    </w:p>
    <w:p w:rsidR="001F30D4" w:rsidRPr="001F30D4" w:rsidRDefault="001F30D4" w:rsidP="001F30D4">
      <w:pPr>
        <w:numPr>
          <w:ilvl w:val="0"/>
          <w:numId w:val="1"/>
        </w:numPr>
        <w:rPr>
          <w:sz w:val="24"/>
        </w:rPr>
      </w:pPr>
      <w:r w:rsidRPr="001F30D4">
        <w:rPr>
          <w:sz w:val="24"/>
        </w:rPr>
        <w:t>If an individual’s driver’s license has been suspended by the Michigan Department of State for nonpayment of a traffic offense, the individual is still required to pay the $45 reinstatement fee to reinstate the driver’s license. The $45 fee will be remitted to the State of Michigan.</w:t>
      </w:r>
    </w:p>
    <w:p w:rsidR="002B18AD" w:rsidRDefault="001F30D4" w:rsidP="008464AD">
      <w:pPr>
        <w:numPr>
          <w:ilvl w:val="0"/>
          <w:numId w:val="1"/>
        </w:numPr>
        <w:rPr>
          <w:sz w:val="24"/>
        </w:rPr>
      </w:pPr>
      <w:r w:rsidRPr="001F30D4">
        <w:rPr>
          <w:sz w:val="24"/>
        </w:rPr>
        <w:t>Upon conclusion of the amnesty period, no further consideration will be given.</w:t>
      </w:r>
    </w:p>
    <w:p w:rsidR="00C36726" w:rsidRDefault="00C36726" w:rsidP="00C36726">
      <w:pPr>
        <w:spacing w:after="0" w:line="240" w:lineRule="auto"/>
        <w:jc w:val="center"/>
        <w:rPr>
          <w:b/>
          <w:color w:val="31479E" w:themeColor="accent1" w:themeShade="BF"/>
        </w:rPr>
      </w:pPr>
      <w:r>
        <w:rPr>
          <w:sz w:val="24"/>
        </w:rPr>
        <w:t xml:space="preserve"> </w:t>
      </w:r>
      <w:r w:rsidRPr="001F30D4">
        <w:rPr>
          <w:b/>
          <w:color w:val="31479E" w:themeColor="accent1" w:themeShade="BF"/>
        </w:rPr>
        <w:t>Active Warrant List</w:t>
      </w:r>
    </w:p>
    <w:p w:rsidR="00C36726" w:rsidRPr="001F30D4" w:rsidRDefault="006150F6" w:rsidP="009F6D1A">
      <w:pPr>
        <w:spacing w:after="0" w:line="240" w:lineRule="auto"/>
        <w:jc w:val="center"/>
      </w:pPr>
      <w:hyperlink r:id="rId13" w:history="1">
        <w:r w:rsidR="00C36726" w:rsidRPr="001F30D4">
          <w:rPr>
            <w:rStyle w:val="Hyperlink"/>
          </w:rPr>
          <w:t>https://www.livingstonlive.org/LCIT/districtCourt/dcWarrants.pdf</w:t>
        </w:r>
      </w:hyperlink>
    </w:p>
    <w:p w:rsidR="00C36726" w:rsidRPr="001F30D4" w:rsidRDefault="00C36726" w:rsidP="00C36726">
      <w:pPr>
        <w:ind w:left="720"/>
        <w:rPr>
          <w:sz w:val="24"/>
        </w:rPr>
      </w:pPr>
    </w:p>
    <w:sectPr w:rsidR="00C36726" w:rsidRPr="001F30D4" w:rsidSect="00DD5ECF">
      <w:pgSz w:w="12240" w:h="15840" w:code="1"/>
      <w:pgMar w:top="547" w:right="1440" w:bottom="86"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B0" w:rsidRDefault="00D32DB0" w:rsidP="001F30D4">
      <w:pPr>
        <w:spacing w:after="0" w:line="240" w:lineRule="auto"/>
      </w:pPr>
      <w:r>
        <w:separator/>
      </w:r>
    </w:p>
  </w:endnote>
  <w:endnote w:type="continuationSeparator" w:id="0">
    <w:p w:rsidR="00D32DB0" w:rsidRDefault="00D32DB0" w:rsidP="001F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B0" w:rsidRDefault="00D32DB0" w:rsidP="001F30D4">
      <w:pPr>
        <w:spacing w:after="0" w:line="240" w:lineRule="auto"/>
      </w:pPr>
      <w:r>
        <w:separator/>
      </w:r>
    </w:p>
  </w:footnote>
  <w:footnote w:type="continuationSeparator" w:id="0">
    <w:p w:rsidR="00D32DB0" w:rsidRDefault="00D32DB0" w:rsidP="001F3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92AC3"/>
    <w:multiLevelType w:val="hybridMultilevel"/>
    <w:tmpl w:val="45A2A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spelling="clean" w:grammar="clean"/>
  <w:defaultTabStop w:val="720"/>
  <w:characterSpacingControl w:val="doNotCompress"/>
  <w:hdrShapeDefaults>
    <o:shapedefaults v:ext="edit" spidmax="4097">
      <o:colormru v:ext="edit" colors="#fff3d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D4"/>
    <w:rsid w:val="00076F1C"/>
    <w:rsid w:val="0018162F"/>
    <w:rsid w:val="001F30D4"/>
    <w:rsid w:val="002B1268"/>
    <w:rsid w:val="002B18AD"/>
    <w:rsid w:val="002F6D3C"/>
    <w:rsid w:val="00381AEA"/>
    <w:rsid w:val="003E3A13"/>
    <w:rsid w:val="005E3EFD"/>
    <w:rsid w:val="006150F6"/>
    <w:rsid w:val="006768F6"/>
    <w:rsid w:val="008861DB"/>
    <w:rsid w:val="009F6D1A"/>
    <w:rsid w:val="00A35411"/>
    <w:rsid w:val="00A8732A"/>
    <w:rsid w:val="00B91900"/>
    <w:rsid w:val="00C36726"/>
    <w:rsid w:val="00D32DB0"/>
    <w:rsid w:val="00D40402"/>
    <w:rsid w:val="00DD5ECF"/>
    <w:rsid w:val="00E443EF"/>
    <w:rsid w:val="00E56C0B"/>
    <w:rsid w:val="00FF0FB4"/>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ff3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0D4"/>
    <w:rPr>
      <w:color w:val="56C7AA" w:themeColor="hyperlink"/>
      <w:u w:val="single"/>
    </w:rPr>
  </w:style>
  <w:style w:type="paragraph" w:styleId="Header">
    <w:name w:val="header"/>
    <w:basedOn w:val="Normal"/>
    <w:link w:val="HeaderChar"/>
    <w:uiPriority w:val="99"/>
    <w:unhideWhenUsed/>
    <w:rsid w:val="001F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0D4"/>
  </w:style>
  <w:style w:type="paragraph" w:styleId="Footer">
    <w:name w:val="footer"/>
    <w:basedOn w:val="Normal"/>
    <w:link w:val="FooterChar"/>
    <w:uiPriority w:val="99"/>
    <w:unhideWhenUsed/>
    <w:rsid w:val="001F3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D4"/>
  </w:style>
  <w:style w:type="paragraph" w:styleId="BalloonText">
    <w:name w:val="Balloon Text"/>
    <w:basedOn w:val="Normal"/>
    <w:link w:val="BalloonTextChar"/>
    <w:uiPriority w:val="99"/>
    <w:semiHidden/>
    <w:unhideWhenUsed/>
    <w:rsid w:val="00C36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726"/>
    <w:rPr>
      <w:rFonts w:ascii="Segoe UI" w:hAnsi="Segoe UI" w:cs="Segoe UI"/>
      <w:sz w:val="18"/>
      <w:szCs w:val="18"/>
    </w:rPr>
  </w:style>
  <w:style w:type="character" w:styleId="FollowedHyperlink">
    <w:name w:val="FollowedHyperlink"/>
    <w:basedOn w:val="DefaultParagraphFont"/>
    <w:uiPriority w:val="99"/>
    <w:semiHidden/>
    <w:unhideWhenUsed/>
    <w:rsid w:val="009F6D1A"/>
    <w:rPr>
      <w:color w:val="59A8D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0D4"/>
    <w:rPr>
      <w:color w:val="56C7AA" w:themeColor="hyperlink"/>
      <w:u w:val="single"/>
    </w:rPr>
  </w:style>
  <w:style w:type="paragraph" w:styleId="Header">
    <w:name w:val="header"/>
    <w:basedOn w:val="Normal"/>
    <w:link w:val="HeaderChar"/>
    <w:uiPriority w:val="99"/>
    <w:unhideWhenUsed/>
    <w:rsid w:val="001F3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0D4"/>
  </w:style>
  <w:style w:type="paragraph" w:styleId="Footer">
    <w:name w:val="footer"/>
    <w:basedOn w:val="Normal"/>
    <w:link w:val="FooterChar"/>
    <w:uiPriority w:val="99"/>
    <w:unhideWhenUsed/>
    <w:rsid w:val="001F3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0D4"/>
  </w:style>
  <w:style w:type="paragraph" w:styleId="BalloonText">
    <w:name w:val="Balloon Text"/>
    <w:basedOn w:val="Normal"/>
    <w:link w:val="BalloonTextChar"/>
    <w:uiPriority w:val="99"/>
    <w:semiHidden/>
    <w:unhideWhenUsed/>
    <w:rsid w:val="00C36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726"/>
    <w:rPr>
      <w:rFonts w:ascii="Segoe UI" w:hAnsi="Segoe UI" w:cs="Segoe UI"/>
      <w:sz w:val="18"/>
      <w:szCs w:val="18"/>
    </w:rPr>
  </w:style>
  <w:style w:type="character" w:styleId="FollowedHyperlink">
    <w:name w:val="FollowedHyperlink"/>
    <w:basedOn w:val="DefaultParagraphFont"/>
    <w:uiPriority w:val="99"/>
    <w:semiHidden/>
    <w:unhideWhenUsed/>
    <w:rsid w:val="009F6D1A"/>
    <w:rPr>
      <w:color w:val="59A8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vingstonlive.org/LCIT/districtCourt/dcWarrants.pdf" TargetMode="Externa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s://www.livg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Letha Khozouie</dc:creator>
  <cp:lastModifiedBy>Jon King</cp:lastModifiedBy>
  <cp:revision>2</cp:revision>
  <cp:lastPrinted>2018-04-11T13:41:00Z</cp:lastPrinted>
  <dcterms:created xsi:type="dcterms:W3CDTF">2018-05-11T14:40:00Z</dcterms:created>
  <dcterms:modified xsi:type="dcterms:W3CDTF">2018-05-11T14:40:00Z</dcterms:modified>
</cp:coreProperties>
</file>